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B7" w:rsidRPr="00154598" w:rsidRDefault="00B018B7" w:rsidP="00B018B7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t>УКАЗАНИЯ</w:t>
      </w:r>
    </w:p>
    <w:p w:rsidR="00B018B7" w:rsidRPr="00154598" w:rsidRDefault="00B018B7" w:rsidP="00B018B7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t>по заполнению формы федерального статистического наблюдения</w:t>
      </w:r>
      <w:r w:rsidRPr="00154598">
        <w:rPr>
          <w:b/>
          <w:sz w:val="26"/>
        </w:rPr>
        <w:t xml:space="preserve"> </w:t>
      </w:r>
      <w:r w:rsidRPr="00154598">
        <w:rPr>
          <w:b/>
          <w:sz w:val="26"/>
        </w:rPr>
        <w:br/>
        <w:t>№</w:t>
      </w:r>
      <w:r w:rsidRPr="00B018B7">
        <w:rPr>
          <w:b/>
          <w:sz w:val="26"/>
        </w:rPr>
        <w:t>1-СХ-цены «Сведения о ценах производителей сельскохозяйственной продукции»</w:t>
      </w:r>
    </w:p>
    <w:p w:rsidR="00196F2E" w:rsidRPr="0030496F" w:rsidRDefault="00196F2E" w:rsidP="0017653B">
      <w:pPr>
        <w:spacing w:after="60"/>
        <w:jc w:val="center"/>
        <w:rPr>
          <w:b/>
          <w:sz w:val="26"/>
          <w:szCs w:val="24"/>
        </w:rPr>
      </w:pPr>
    </w:p>
    <w:p w:rsidR="00DA7BCD" w:rsidRDefault="0029139E" w:rsidP="00DA7BCD">
      <w:pPr>
        <w:ind w:firstLine="709"/>
        <w:jc w:val="both"/>
      </w:pPr>
      <w:r>
        <w:t xml:space="preserve">Форму </w:t>
      </w:r>
      <w:r>
        <w:rPr>
          <w:szCs w:val="24"/>
        </w:rPr>
        <w:t>федерального статистического наблюдения</w:t>
      </w:r>
      <w:r>
        <w:t xml:space="preserve"> №1-СХ-цены «Сведения о ценах производителей сельскохозяйственной продукции» (далее – форма</w:t>
      </w:r>
      <w:r w:rsidRPr="0029139E">
        <w:t>)</w:t>
      </w:r>
      <w:r>
        <w:t xml:space="preserve"> предоставляют </w:t>
      </w:r>
      <w:r w:rsidR="00DA7BCD">
        <w:t xml:space="preserve">юридические лица, осуществляющие производство сельскохозяйственной продукции (кроме крестьянских (фермерских) хозяйств и </w:t>
      </w:r>
      <w:proofErr w:type="spellStart"/>
      <w:r w:rsidR="00DA7BCD">
        <w:t>микропредприятий</w:t>
      </w:r>
      <w:proofErr w:type="spellEnd"/>
      <w:r w:rsidR="00DA7BCD">
        <w:t xml:space="preserve">). Форму предоставляют также филиалы, представительства и </w:t>
      </w:r>
      <w:proofErr w:type="gramStart"/>
      <w:r w:rsidR="00DA7BCD">
        <w:t>подразделения</w:t>
      </w:r>
      <w:proofErr w:type="gramEnd"/>
      <w:r w:rsidR="00DA7BCD">
        <w:t xml:space="preserve"> действующих на территории Российской Федерации иностранных организаций в порядке, установленном для юридических лиц. </w:t>
      </w:r>
    </w:p>
    <w:p w:rsidR="00DA7BCD" w:rsidRDefault="00DA7BCD" w:rsidP="00DA7BCD">
      <w:pPr>
        <w:ind w:firstLine="709"/>
        <w:jc w:val="both"/>
      </w:pPr>
      <w:r>
        <w:t>Юридическое лицо заполняет настоящую форму и предоставляет ее в территориальный орган Росстата по месту своего нахождения.</w:t>
      </w:r>
    </w:p>
    <w:p w:rsidR="00DA7BCD" w:rsidRDefault="00DA7BCD" w:rsidP="00DA7BCD">
      <w:pPr>
        <w:ind w:firstLine="709"/>
        <w:jc w:val="both"/>
      </w:pPr>
      <w:r>
        <w:t>При наличии у юридического лица обособленных подразделений</w:t>
      </w:r>
      <w:proofErr w:type="gramStart"/>
      <w:r w:rsidR="000403CB" w:rsidRPr="000403CB">
        <w:rPr>
          <w:vertAlign w:val="superscript"/>
        </w:rPr>
        <w:t>1</w:t>
      </w:r>
      <w:proofErr w:type="gramEnd"/>
      <w:r>
        <w:rPr>
          <w:rStyle w:val="af4"/>
          <w:color w:val="FFFFFF"/>
        </w:rPr>
        <w:t>)</w:t>
      </w:r>
      <w:r>
        <w:t>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DA7BCD" w:rsidRDefault="00DA7BCD" w:rsidP="00DA7BCD">
      <w:pPr>
        <w:ind w:firstLine="709"/>
        <w:jc w:val="both"/>
        <w:rPr>
          <w:lang w:val="en-US"/>
        </w:rPr>
      </w:pPr>
      <w:r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EC5AD4" w:rsidRDefault="005D1EB2" w:rsidP="005D1EB2">
      <w:pPr>
        <w:ind w:firstLine="709"/>
        <w:jc w:val="both"/>
        <w:rPr>
          <w:szCs w:val="24"/>
        </w:rPr>
      </w:pPr>
      <w:r w:rsidRPr="005D1EB2">
        <w:rPr>
          <w:szCs w:val="24"/>
        </w:rPr>
        <w:t xml:space="preserve">Временно не работающие организации, на которых в течение части отчетного периода осуществлялась деятельность, предоставляют форму на общих основаниях с указанием, с какого времени они не работают. </w:t>
      </w:r>
    </w:p>
    <w:p w:rsidR="005D1EB2" w:rsidRDefault="005D1EB2" w:rsidP="005D1EB2">
      <w:pPr>
        <w:ind w:firstLine="709"/>
        <w:jc w:val="both"/>
      </w:pPr>
      <w:r w:rsidRPr="005D1EB2">
        <w:rPr>
          <w:szCs w:val="24"/>
        </w:rPr>
        <w:t>Организации-банкроты, на которых введено конкурсное производство, не освобождаются от предоставления сведений по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 3 ст.</w:t>
      </w:r>
      <w:r w:rsidR="00EC5AD4">
        <w:rPr>
          <w:szCs w:val="24"/>
        </w:rPr>
        <w:t xml:space="preserve"> </w:t>
      </w:r>
      <w:r w:rsidRPr="005D1EB2">
        <w:rPr>
          <w:szCs w:val="24"/>
        </w:rPr>
        <w:t>149 Федерального закона от 26.10.2002 № 127-ФЗ «О несостоятельности (банкротстве)») организация-должник считается ликвидированной и освобождается от предоставления сведений.</w:t>
      </w:r>
    </w:p>
    <w:p w:rsidR="00DA7BCD" w:rsidRDefault="00DA7BCD" w:rsidP="00DA7BCD">
      <w:pPr>
        <w:ind w:firstLine="709"/>
        <w:jc w:val="both"/>
      </w:pPr>
      <w:r>
        <w:t xml:space="preserve">Руководитель юридического лица назначает должностных лиц, уполномоченных </w:t>
      </w:r>
      <w:r w:rsidRPr="00314E59">
        <w:t xml:space="preserve">предоставлять </w:t>
      </w:r>
      <w:r w:rsidR="0028663C" w:rsidRPr="00314E59">
        <w:t>первичные статистические данные</w:t>
      </w:r>
      <w:r w:rsidR="0028663C" w:rsidRPr="0028663C">
        <w:t xml:space="preserve"> </w:t>
      </w:r>
      <w:r>
        <w:t>от имени юридического лица.</w:t>
      </w:r>
    </w:p>
    <w:p w:rsidR="00DA7BCD" w:rsidRDefault="00DA7BCD" w:rsidP="00DA7BCD">
      <w:pPr>
        <w:ind w:firstLine="709"/>
        <w:jc w:val="both"/>
        <w:rPr>
          <w:lang w:val="en-US"/>
        </w:rPr>
      </w:pPr>
      <w:r>
        <w:t xml:space="preserve">В адресной части </w:t>
      </w:r>
      <w:r w:rsidR="005D1EB2">
        <w:t xml:space="preserve">формы </w:t>
      </w:r>
      <w:r>
        <w:t>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051C22" w:rsidRDefault="00051C22" w:rsidP="00051C22">
      <w:pPr>
        <w:ind w:firstLine="709"/>
        <w:jc w:val="both"/>
        <w:rPr>
          <w:lang w:val="en-US"/>
        </w:rPr>
      </w:pPr>
      <w:proofErr w:type="gramStart"/>
      <w: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AD3DBE" w:rsidRPr="00AD3DBE" w:rsidRDefault="00AD3DBE" w:rsidP="00051C22">
      <w:pPr>
        <w:ind w:firstLine="709"/>
        <w:jc w:val="both"/>
        <w:rPr>
          <w:lang w:val="en-US"/>
        </w:rPr>
      </w:pPr>
    </w:p>
    <w:p w:rsidR="00E6687C" w:rsidRPr="000403CB" w:rsidRDefault="00E6687C" w:rsidP="00E6687C">
      <w:pPr>
        <w:jc w:val="both"/>
      </w:pPr>
      <w:r w:rsidRPr="000403CB">
        <w:t>______________</w:t>
      </w:r>
      <w:r w:rsidR="00051C22">
        <w:rPr>
          <w:lang w:val="en-US"/>
        </w:rPr>
        <w:t>_</w:t>
      </w:r>
      <w:r w:rsidRPr="000403CB">
        <w:t>___</w:t>
      </w:r>
    </w:p>
    <w:p w:rsidR="00E6687C" w:rsidRDefault="00E6687C" w:rsidP="00E6687C">
      <w:pPr>
        <w:ind w:left="-284" w:right="141" w:firstLine="720"/>
        <w:jc w:val="both"/>
      </w:pPr>
      <w:r>
        <w:rPr>
          <w:rStyle w:val="af4"/>
        </w:rPr>
        <w:t>1</w:t>
      </w:r>
      <w:r>
        <w:rPr>
          <w:sz w:val="20"/>
        </w:rPr>
        <w:t>Примечание.</w:t>
      </w:r>
    </w:p>
    <w:p w:rsidR="00E6687C" w:rsidRDefault="00E6687C" w:rsidP="00E6687C">
      <w:pPr>
        <w:ind w:right="-30" w:firstLine="436"/>
        <w:jc w:val="both"/>
      </w:pPr>
      <w:r>
        <w:rPr>
          <w:sz w:val="20"/>
        </w:rPr>
        <w:t>Обособленное подразделение организации - любое территориально</w:t>
      </w:r>
      <w:r w:rsidRPr="00E125EB">
        <w:rPr>
          <w:sz w:val="20"/>
        </w:rPr>
        <w:t xml:space="preserve"> </w:t>
      </w:r>
      <w:r>
        <w:rPr>
          <w:sz w:val="20"/>
        </w:rPr>
        <w:t xml:space="preserve">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</w:t>
      </w:r>
      <w:r>
        <w:rPr>
          <w:sz w:val="20"/>
        </w:rPr>
        <w:lastRenderedPageBreak/>
        <w:t xml:space="preserve">иных организационно-распорядительных документах организации, и от полномочий, которыми наделяется указанное подразделение. При этом </w:t>
      </w:r>
      <w:hyperlink r:id="rId8" w:history="1">
        <w:r w:rsidRPr="000E044A">
          <w:rPr>
            <w:rStyle w:val="ad"/>
            <w:color w:val="000000"/>
            <w:sz w:val="20"/>
            <w:u w:val="none"/>
          </w:rPr>
          <w:t>рабочее место</w:t>
        </w:r>
      </w:hyperlink>
      <w:r>
        <w:rPr>
          <w:sz w:val="20"/>
        </w:rPr>
        <w:t xml:space="preserve"> считается стационарным, если оно создается на срок более одного месяца (п.</w:t>
      </w:r>
      <w:r w:rsidR="005D1EB2">
        <w:rPr>
          <w:sz w:val="20"/>
        </w:rPr>
        <w:t xml:space="preserve"> </w:t>
      </w:r>
      <w:r>
        <w:rPr>
          <w:sz w:val="20"/>
        </w:rPr>
        <w:t>2 ст. 11 Налогового кодекса Российской Федерации).</w:t>
      </w:r>
    </w:p>
    <w:p w:rsidR="00E6687C" w:rsidRPr="00E6687C" w:rsidRDefault="00E6687C" w:rsidP="00555CCA">
      <w:pPr>
        <w:ind w:left="119" w:firstLine="567"/>
        <w:jc w:val="both"/>
      </w:pPr>
    </w:p>
    <w:p w:rsidR="00D93ACC" w:rsidRPr="00A4635A" w:rsidRDefault="00D93ACC" w:rsidP="00D93ACC">
      <w:pPr>
        <w:spacing w:line="260" w:lineRule="exact"/>
        <w:ind w:firstLine="686"/>
      </w:pPr>
      <w:r w:rsidRPr="0018225D"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</w:t>
      </w:r>
      <w:proofErr w:type="gramStart"/>
      <w:r w:rsidRPr="0018225D">
        <w:t>Интернет-портале</w:t>
      </w:r>
      <w:proofErr w:type="gramEnd"/>
      <w:r w:rsidRPr="0018225D">
        <w:t xml:space="preserve"> Росстата по адресу</w:t>
      </w:r>
      <w:r w:rsidRPr="00A4635A">
        <w:t xml:space="preserve">: </w:t>
      </w:r>
      <w:hyperlink r:id="rId9" w:anchor="!/gs/statistic-codes" w:history="1">
        <w:r w:rsidRPr="00A4635A">
          <w:rPr>
            <w:rStyle w:val="ad"/>
            <w:color w:val="auto"/>
            <w:lang w:val="en-US"/>
          </w:rPr>
          <w:t>http</w:t>
        </w:r>
        <w:r w:rsidRPr="00A4635A">
          <w:rPr>
            <w:rStyle w:val="ad"/>
            <w:color w:val="auto"/>
          </w:rPr>
          <w:t>://</w:t>
        </w:r>
        <w:proofErr w:type="spellStart"/>
        <w:r w:rsidRPr="00A4635A">
          <w:rPr>
            <w:rStyle w:val="ad"/>
            <w:color w:val="auto"/>
            <w:lang w:val="en-US"/>
          </w:rPr>
          <w:t>websbor</w:t>
        </w:r>
        <w:proofErr w:type="spellEnd"/>
        <w:r w:rsidRPr="00A4635A">
          <w:rPr>
            <w:rStyle w:val="ad"/>
            <w:color w:val="auto"/>
          </w:rPr>
          <w:t>.</w:t>
        </w:r>
        <w:r w:rsidRPr="00A4635A">
          <w:rPr>
            <w:rStyle w:val="ad"/>
            <w:color w:val="auto"/>
            <w:lang w:val="en-US"/>
          </w:rPr>
          <w:t>gks</w:t>
        </w:r>
        <w:r w:rsidRPr="00A4635A">
          <w:rPr>
            <w:rStyle w:val="ad"/>
            <w:color w:val="auto"/>
          </w:rPr>
          <w:t>.</w:t>
        </w:r>
        <w:proofErr w:type="spellStart"/>
        <w:r w:rsidRPr="00A4635A">
          <w:rPr>
            <w:rStyle w:val="ad"/>
            <w:color w:val="auto"/>
            <w:lang w:val="en-US"/>
          </w:rPr>
          <w:t>ru</w:t>
        </w:r>
        <w:proofErr w:type="spellEnd"/>
        <w:r w:rsidRPr="00A4635A">
          <w:rPr>
            <w:rStyle w:val="ad"/>
            <w:color w:val="auto"/>
          </w:rPr>
          <w:t>/</w:t>
        </w:r>
        <w:r w:rsidRPr="00A4635A">
          <w:rPr>
            <w:rStyle w:val="ad"/>
            <w:color w:val="auto"/>
            <w:lang w:val="en-US"/>
          </w:rPr>
          <w:t>online</w:t>
        </w:r>
        <w:r w:rsidRPr="00A4635A">
          <w:rPr>
            <w:rStyle w:val="ad"/>
            <w:color w:val="auto"/>
          </w:rPr>
          <w:t>/#!/</w:t>
        </w:r>
        <w:proofErr w:type="spellStart"/>
        <w:r w:rsidRPr="00A4635A">
          <w:rPr>
            <w:rStyle w:val="ad"/>
            <w:color w:val="auto"/>
            <w:lang w:val="en-US"/>
          </w:rPr>
          <w:t>gs</w:t>
        </w:r>
        <w:proofErr w:type="spellEnd"/>
        <w:r w:rsidRPr="00A4635A">
          <w:rPr>
            <w:rStyle w:val="ad"/>
            <w:color w:val="auto"/>
          </w:rPr>
          <w:t>/</w:t>
        </w:r>
        <w:r w:rsidRPr="00A4635A">
          <w:rPr>
            <w:rStyle w:val="ad"/>
            <w:color w:val="auto"/>
            <w:lang w:val="en-US"/>
          </w:rPr>
          <w:t>statistic</w:t>
        </w:r>
        <w:r w:rsidRPr="00A4635A">
          <w:rPr>
            <w:rStyle w:val="ad"/>
            <w:color w:val="auto"/>
          </w:rPr>
          <w:t>-</w:t>
        </w:r>
        <w:r w:rsidRPr="00A4635A">
          <w:rPr>
            <w:rStyle w:val="ad"/>
            <w:color w:val="auto"/>
            <w:lang w:val="en-US"/>
          </w:rPr>
          <w:t>codes</w:t>
        </w:r>
      </w:hyperlink>
      <w:r w:rsidRPr="00A4635A">
        <w:t>, отчитывающаяся организация проставляет:</w:t>
      </w:r>
    </w:p>
    <w:p w:rsidR="00D93ACC" w:rsidRPr="0018225D" w:rsidRDefault="00D93ACC" w:rsidP="00D93ACC">
      <w:pPr>
        <w:spacing w:line="260" w:lineRule="exact"/>
        <w:ind w:left="119" w:firstLine="567"/>
        <w:jc w:val="both"/>
      </w:pPr>
      <w:r w:rsidRPr="00A4635A">
        <w:t>код по Общероссийскому классификатору предприятий и организаций (ОКПО</w:t>
      </w:r>
      <w:r w:rsidRPr="0018225D">
        <w:t>) – для юридического лица, не имеющего территориально обособленных подразделений;</w:t>
      </w:r>
    </w:p>
    <w:p w:rsidR="00D93ACC" w:rsidRPr="00051C22" w:rsidRDefault="00D93ACC" w:rsidP="00D93ACC">
      <w:pPr>
        <w:spacing w:line="260" w:lineRule="exact"/>
        <w:ind w:left="119" w:firstLine="567"/>
        <w:jc w:val="both"/>
      </w:pPr>
      <w:r w:rsidRPr="0018225D">
        <w:t>идентификационный номер – для территориально обособленного подразделения юридического лица и для головного подразделения юридического лица.</w:t>
      </w:r>
    </w:p>
    <w:p w:rsidR="005F2289" w:rsidRPr="00A473DB" w:rsidRDefault="005F2289" w:rsidP="00D93ACC">
      <w:pPr>
        <w:spacing w:line="260" w:lineRule="exact"/>
        <w:ind w:left="119" w:firstLine="567"/>
        <w:jc w:val="both"/>
      </w:pPr>
      <w:r w:rsidRPr="00A473DB"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 код ОКПО (для филиала) или идентификационный номер (для обособленного подразделения, не имеющего статуса филиала).</w:t>
      </w:r>
    </w:p>
    <w:p w:rsidR="005F2289" w:rsidRDefault="005F2289" w:rsidP="00D93ACC">
      <w:pPr>
        <w:spacing w:line="260" w:lineRule="exact"/>
        <w:ind w:left="119" w:firstLine="567"/>
        <w:jc w:val="both"/>
      </w:pPr>
      <w:r w:rsidRPr="00A473DB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5D1EB2" w:rsidRDefault="005D1EB2" w:rsidP="00D93ACC">
      <w:pPr>
        <w:spacing w:line="260" w:lineRule="exact"/>
        <w:ind w:firstLine="720"/>
        <w:jc w:val="both"/>
        <w:rPr>
          <w:szCs w:val="24"/>
        </w:rPr>
      </w:pPr>
      <w:r w:rsidRPr="005D1EB2">
        <w:rPr>
          <w:szCs w:val="24"/>
        </w:rPr>
        <w:t>В случае отсутствия в отчетном периоде реализации товаров, включенных в наблюдение по форме, необходимо направление респондентом подписанного в установленном порядке отчета, не заполненного значениями показателей.</w:t>
      </w:r>
    </w:p>
    <w:p w:rsidR="0094056C" w:rsidRPr="0094056C" w:rsidRDefault="0094056C" w:rsidP="00D93ACC">
      <w:pPr>
        <w:spacing w:line="260" w:lineRule="exact"/>
        <w:ind w:firstLine="709"/>
        <w:jc w:val="both"/>
      </w:pPr>
      <w:r>
        <w:t>Регистрация цен проводится в отобранных для наблюдения сельскохозяйственных организациях на основные виды произведенных товаров-представителей, реализуемых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</w:t>
      </w:r>
      <w:r w:rsidR="00293BC8">
        <w:t xml:space="preserve">ям, коммерческим структурам и тому </w:t>
      </w:r>
      <w:r>
        <w:t>п</w:t>
      </w:r>
      <w:r w:rsidR="00293BC8">
        <w:t>одобным</w:t>
      </w:r>
      <w:r>
        <w:t>.</w:t>
      </w:r>
    </w:p>
    <w:p w:rsidR="000403CB" w:rsidRDefault="000403CB" w:rsidP="00D93ACC">
      <w:pPr>
        <w:spacing w:line="260" w:lineRule="exact"/>
        <w:ind w:firstLine="709"/>
        <w:jc w:val="both"/>
      </w:pPr>
      <w:r>
        <w:t>Основанием для заполнения формы служит информация о ценах и количестве реализованной продукции, содержащаяся в товарно-транспортных накладных и других документах бухгалтерского учета.</w:t>
      </w:r>
    </w:p>
    <w:p w:rsidR="00DA7BCD" w:rsidRDefault="00DA7BCD" w:rsidP="00D93ACC">
      <w:pPr>
        <w:spacing w:line="260" w:lineRule="exact"/>
        <w:ind w:firstLine="709"/>
        <w:jc w:val="both"/>
      </w:pPr>
      <w:r>
        <w:t xml:space="preserve">Регистрация цен в сельскохозяйственных организациях </w:t>
      </w:r>
      <w:proofErr w:type="gramStart"/>
      <w:r>
        <w:t>осуществляется</w:t>
      </w:r>
      <w:proofErr w:type="gramEnd"/>
      <w:r>
        <w:t xml:space="preserve"> как правило по состоянию на 20 число отчетного месяца. Однако момент регистрации цен для различных видов продукции может немного отличаться. </w:t>
      </w:r>
      <w:proofErr w:type="gramStart"/>
      <w:r>
        <w:t>Выбранный для регистрации цен день должен быть наиболее типичным по условиям реализации конкретного вида продукции и постоянным в каждом месяце текущего года, а интервал между предыдущей и последующей регистрациями цен на конкретный вид продукции должен быть равен календарному месяцу.</w:t>
      </w:r>
      <w:proofErr w:type="gramEnd"/>
      <w:r>
        <w:t xml:space="preserve"> Если в установленный для регистрации цен день реализация конкретного вида продукции не осуществлялась, то в отчете приводятся данные о ценах в ближайший к нему день в пределах отчетного месяца.</w:t>
      </w:r>
    </w:p>
    <w:p w:rsidR="00DA7BCD" w:rsidRDefault="00DA7BCD" w:rsidP="00D93ACC">
      <w:pPr>
        <w:spacing w:line="260" w:lineRule="exact"/>
        <w:ind w:firstLine="709"/>
        <w:jc w:val="both"/>
      </w:pPr>
      <w:r>
        <w:t>Для заполнения формы специалистам сельскохозяйственной организации необходимо по каждому из производимых товаров-представителей отобрать один или несколько видов (различающихся по классам</w:t>
      </w:r>
      <w:r w:rsidR="005D1EB2">
        <w:t>, сортам, категориям</w:t>
      </w:r>
      <w:r>
        <w:t>) с наибольшим объемом производства (реализации). Например: по позиции</w:t>
      </w:r>
      <w:r>
        <w:rPr>
          <w:i/>
        </w:rPr>
        <w:t xml:space="preserve"> «Крупный рогатый скот» можно выделить один из видов – «бычки средней упитанности», «бычки ниже средней упитанности» и т</w:t>
      </w:r>
      <w:r w:rsidR="00293BC8">
        <w:rPr>
          <w:i/>
        </w:rPr>
        <w:t>ому подобное.</w:t>
      </w:r>
    </w:p>
    <w:p w:rsidR="00DA7BCD" w:rsidRDefault="00DA7BCD" w:rsidP="00D93ACC">
      <w:pPr>
        <w:spacing w:line="260" w:lineRule="exact"/>
        <w:ind w:firstLine="709"/>
        <w:jc w:val="both"/>
      </w:pPr>
      <w:r>
        <w:t>При этом виды товаров могут различаться не только по качественным характеристикам, но и по условиям реализации или по типам покупателей – «каналам реализации» продукции.</w:t>
      </w:r>
    </w:p>
    <w:p w:rsidR="00DA7BCD" w:rsidRPr="007B4B1B" w:rsidRDefault="00DA7BCD" w:rsidP="00D93ACC">
      <w:pPr>
        <w:spacing w:line="260" w:lineRule="exact"/>
        <w:ind w:firstLine="709"/>
        <w:jc w:val="both"/>
        <w:rPr>
          <w:lang w:val="en-US"/>
        </w:rPr>
      </w:pPr>
      <w:r>
        <w:t>В случаях, когда конкретный вид продукции реализуется нескольким покупателям по значительно различающимся ценам, необходимо указать данные по наиболее представительным «каналам реализации» (</w:t>
      </w:r>
      <w:r w:rsidR="005D1EB2">
        <w:t xml:space="preserve">например, </w:t>
      </w:r>
      <w:r>
        <w:t>субъекты оптового и розничного рынков, собственные торговые точки, п</w:t>
      </w:r>
      <w:r w:rsidR="00293BC8">
        <w:t>ерераба</w:t>
      </w:r>
      <w:r w:rsidR="005D1EB2">
        <w:t>тывающие организации</w:t>
      </w:r>
      <w:r>
        <w:t xml:space="preserve">). Например, по позиции </w:t>
      </w:r>
      <w:r>
        <w:rPr>
          <w:i/>
        </w:rPr>
        <w:t>«Молоко сырое крупного рогатого скота» - реализация молокозаводу и на рынке.</w:t>
      </w:r>
      <w:r>
        <w:t xml:space="preserve"> Покупателей, которым реализуется один вид продукции по незначительно различающимся ценам, можно рассматривать как один «канал </w:t>
      </w:r>
      <w:r>
        <w:lastRenderedPageBreak/>
        <w:t>реализации». В отчете не должна отражаться реализация наблюдаемого вида продукции «случайному» покупателю по очень высоким или очень низким ценам.</w:t>
      </w:r>
    </w:p>
    <w:p w:rsidR="00DA7BCD" w:rsidRPr="007B4B1B" w:rsidRDefault="00DA7BCD" w:rsidP="00D93ACC">
      <w:pPr>
        <w:spacing w:line="260" w:lineRule="exact"/>
        <w:ind w:firstLine="709"/>
        <w:jc w:val="both"/>
      </w:pPr>
      <w:r>
        <w:t>В графе</w:t>
      </w:r>
      <w:proofErr w:type="gramStart"/>
      <w:r>
        <w:t xml:space="preserve"> А</w:t>
      </w:r>
      <w:proofErr w:type="gramEnd"/>
      <w:r>
        <w:t xml:space="preserve"> приводятся наименования видов продукции, отобранных для наблюдения:</w:t>
      </w:r>
    </w:p>
    <w:p w:rsidR="003B1239" w:rsidRPr="003B1239" w:rsidRDefault="003B1239" w:rsidP="007B4B1B">
      <w:pPr>
        <w:ind w:firstLine="709"/>
        <w:rPr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2"/>
        <w:gridCol w:w="1843"/>
        <w:gridCol w:w="5531"/>
        <w:gridCol w:w="2269"/>
      </w:tblGrid>
      <w:tr w:rsidR="007B4B1B" w:rsidRPr="007B4B1B" w:rsidTr="005B4223">
        <w:trPr>
          <w:tblHeader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1B" w:rsidRDefault="007B4B1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товара-представителя, </w:t>
            </w:r>
            <w:r>
              <w:rPr>
                <w:sz w:val="20"/>
                <w:lang w:eastAsia="en-US"/>
              </w:rPr>
              <w:br/>
              <w:t>единица измерения</w:t>
            </w:r>
            <w:r w:rsidR="005835C1">
              <w:rPr>
                <w:sz w:val="20"/>
                <w:lang w:eastAsia="en-US"/>
              </w:rPr>
              <w:t xml:space="preserve"> 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1B" w:rsidRDefault="007B4B1B">
            <w:pPr>
              <w:autoSpaceDN w:val="0"/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 продукции на основе ОКПД</w:t>
            </w:r>
            <w:proofErr w:type="gramStart"/>
            <w:r>
              <w:rPr>
                <w:sz w:val="20"/>
                <w:lang w:eastAsia="en-US"/>
              </w:rPr>
              <w:t>2</w:t>
            </w:r>
            <w:proofErr w:type="gram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1B" w:rsidRDefault="007B4B1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товара-представителя, </w:t>
            </w:r>
            <w:r>
              <w:rPr>
                <w:sz w:val="20"/>
                <w:lang w:eastAsia="en-US"/>
              </w:rPr>
              <w:br/>
              <w:t>единица измерения</w:t>
            </w:r>
            <w:r w:rsidR="005835C1">
              <w:rPr>
                <w:sz w:val="20"/>
                <w:lang w:eastAsia="en-US"/>
              </w:rPr>
              <w:t xml:space="preserve"> по ОКЕИ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1B" w:rsidRDefault="007B4B1B">
            <w:pPr>
              <w:autoSpaceDN w:val="0"/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 продукции на основе ОКПД</w:t>
            </w:r>
            <w:proofErr w:type="gramStart"/>
            <w:r>
              <w:rPr>
                <w:sz w:val="20"/>
                <w:lang w:eastAsia="en-US"/>
              </w:rPr>
              <w:t>2</w:t>
            </w:r>
            <w:proofErr w:type="gramEnd"/>
          </w:p>
        </w:tc>
      </w:tr>
      <w:tr w:rsidR="007B4B1B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B1B" w:rsidRDefault="007B4B1B">
            <w:pPr>
              <w:autoSpaceDN w:val="0"/>
              <w:spacing w:before="40"/>
              <w:ind w:lef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B1B" w:rsidRDefault="007B4B1B">
            <w:pPr>
              <w:autoSpaceDN w:val="0"/>
              <w:spacing w:before="4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B1B" w:rsidRDefault="007B4B1B">
            <w:pPr>
              <w:autoSpaceDN w:val="0"/>
              <w:spacing w:before="40"/>
              <w:ind w:lef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B1B" w:rsidRDefault="007B4B1B">
            <w:pPr>
              <w:autoSpaceDN w:val="0"/>
              <w:spacing w:before="40"/>
              <w:ind w:lef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7B4B1B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B1B" w:rsidRDefault="007B4B1B" w:rsidP="007B4B1B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Пшеница твердая,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B1B" w:rsidRDefault="007B4B1B" w:rsidP="007B4B1B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01.11.11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B1B" w:rsidRDefault="007B4B1B" w:rsidP="007B4B1B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Табак необработанный,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B1B" w:rsidRDefault="007B4B1B" w:rsidP="007B4B1B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01.15.10</w:t>
            </w:r>
          </w:p>
        </w:tc>
      </w:tr>
      <w:tr w:rsidR="00AD3DBE" w:rsidRPr="007B4B1B" w:rsidTr="00AD3DBE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E" w:rsidRPr="007B4B1B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 w:rsidRPr="007B4B1B">
              <w:rPr>
                <w:sz w:val="20"/>
                <w:lang w:eastAsia="en-US"/>
              </w:rPr>
              <w:t>Пшеница мягкая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E" w:rsidRPr="007B4B1B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 w:rsidRPr="007B4B1B">
              <w:rPr>
                <w:sz w:val="20"/>
                <w:lang w:eastAsia="en-US"/>
              </w:rPr>
              <w:t>01.11.12.004.АГ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Волокно льна-долгунца,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01.16.19.111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Pr="007B4B1B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 w:rsidRPr="007B4B1B">
              <w:rPr>
                <w:sz w:val="20"/>
                <w:lang w:eastAsia="en-US"/>
              </w:rPr>
              <w:t>Пшеница мягкая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Pr="007B4B1B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 w:rsidRPr="007B4B1B">
              <w:rPr>
                <w:sz w:val="20"/>
                <w:lang w:eastAsia="en-US"/>
              </w:rPr>
              <w:t>01.11.12.005.АГ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Кукуруза на корм,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01.19.10.004</w:t>
            </w:r>
            <w:r w:rsidRPr="007B4B1B">
              <w:rPr>
                <w:sz w:val="20"/>
                <w:lang w:eastAsia="en-US"/>
              </w:rPr>
              <w:t>.АГ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Pr="007B4B1B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 w:rsidRPr="007B4B1B">
              <w:rPr>
                <w:sz w:val="20"/>
                <w:lang w:eastAsia="en-US"/>
              </w:rPr>
              <w:t>Пшеница мягкая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Pr="007B4B1B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 w:rsidRPr="007B4B1B">
              <w:rPr>
                <w:sz w:val="20"/>
                <w:lang w:eastAsia="en-US"/>
              </w:rPr>
              <w:t>01.11.12.006.АГ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Виноград,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01.21.1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Pr="007B4B1B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 w:rsidRPr="007B4B1B">
              <w:rPr>
                <w:sz w:val="20"/>
                <w:lang w:eastAsia="en-US"/>
              </w:rPr>
              <w:t>Пшеница мягкая 4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Pr="007B4B1B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 w:rsidRPr="007B4B1B">
              <w:rPr>
                <w:sz w:val="20"/>
                <w:lang w:eastAsia="en-US"/>
              </w:rPr>
              <w:t>01.11.12.007.АГ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Семечковые плоды,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01.24.10.001</w:t>
            </w:r>
            <w:r w:rsidRPr="007B4B1B">
              <w:rPr>
                <w:sz w:val="20"/>
                <w:lang w:eastAsia="en-US"/>
              </w:rPr>
              <w:t>.АГ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Pr="007B4B1B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 w:rsidRPr="007B4B1B">
              <w:rPr>
                <w:sz w:val="20"/>
                <w:lang w:eastAsia="en-US"/>
              </w:rPr>
              <w:t>Пшеница мягкая 5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Pr="007B4B1B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 w:rsidRPr="007B4B1B">
              <w:rPr>
                <w:sz w:val="20"/>
                <w:lang w:eastAsia="en-US"/>
              </w:rPr>
              <w:t>01.11.12.008.АГ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Косточковые плоды,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01.24.23.001</w:t>
            </w:r>
            <w:r w:rsidRPr="007B4B1B">
              <w:rPr>
                <w:sz w:val="20"/>
                <w:lang w:eastAsia="en-US"/>
              </w:rPr>
              <w:t>.АГ</w:t>
            </w:r>
          </w:p>
        </w:tc>
      </w:tr>
      <w:tr w:rsidR="00AD3DBE" w:rsidRPr="007B4B1B" w:rsidTr="00AD3DBE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Кукуруза,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01.11.20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Ягоды и плоды растений вида </w:t>
            </w:r>
            <w:proofErr w:type="spellStart"/>
            <w:r>
              <w:rPr>
                <w:sz w:val="20"/>
                <w:lang w:eastAsia="en-US"/>
              </w:rPr>
              <w:t>Vaccinium</w:t>
            </w:r>
            <w:proofErr w:type="spellEnd"/>
            <w:r>
              <w:rPr>
                <w:sz w:val="20"/>
                <w:lang w:eastAsia="en-US"/>
              </w:rPr>
              <w:t>, 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01.25.1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Ячмень,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01.11.31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Чай – сортовой лист</w:t>
            </w:r>
            <w:proofErr w:type="gramStart"/>
            <w:r>
              <w:rPr>
                <w:sz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lang w:eastAsia="en-US"/>
              </w:rPr>
              <w:t xml:space="preserve"> 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lang w:eastAsia="en-US"/>
              </w:rPr>
              <w:t>01.27.12.001</w:t>
            </w:r>
            <w:r w:rsidRPr="007B4B1B">
              <w:rPr>
                <w:sz w:val="20"/>
                <w:lang w:eastAsia="en-US"/>
              </w:rPr>
              <w:t>.АГ</w:t>
            </w:r>
          </w:p>
        </w:tc>
      </w:tr>
      <w:tr w:rsidR="00AD3DBE" w:rsidRPr="007B4B1B" w:rsidTr="00AD3DBE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Рожь,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BE" w:rsidRDefault="00AD3DBE" w:rsidP="00AD3DBE">
            <w:pPr>
              <w:autoSpaceDN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01.11.32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Шишки хмеля,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01.28.20</w:t>
            </w:r>
          </w:p>
        </w:tc>
      </w:tr>
      <w:tr w:rsidR="00AD3DBE" w:rsidRPr="007B4B1B" w:rsidTr="00AD3DBE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Овес,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line="200" w:lineRule="exact"/>
              <w:jc w:val="center"/>
              <w:rPr>
                <w:rFonts w:ascii="Courier New" w:hAnsi="Courier New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01.11.33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Пряности необработанные,  кроме семян,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01.28.11.001</w:t>
            </w:r>
            <w:r w:rsidRPr="007B4B1B">
              <w:rPr>
                <w:sz w:val="20"/>
                <w:lang w:eastAsia="en-US"/>
              </w:rPr>
              <w:t>.АГ</w:t>
            </w:r>
          </w:p>
        </w:tc>
      </w:tr>
      <w:tr w:rsidR="00AD3DBE" w:rsidRPr="007B4B1B" w:rsidTr="007C2891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Просо,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01.11.42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Культуры лекарственные,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01.28.30.120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Гречиха,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01.11.49.110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Крупный рогатый скот,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01.41.10.001</w:t>
            </w:r>
            <w:r w:rsidRPr="007B4B1B">
              <w:rPr>
                <w:sz w:val="20"/>
                <w:lang w:eastAsia="en-US"/>
              </w:rPr>
              <w:t>.АГ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P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proofErr w:type="gramStart"/>
            <w:r w:rsidRPr="00AD3DBE">
              <w:rPr>
                <w:sz w:val="20"/>
                <w:lang w:eastAsia="en-US"/>
              </w:rPr>
              <w:t>Тритикале</w:t>
            </w:r>
            <w:proofErr w:type="gramEnd"/>
            <w:r w:rsidRPr="00AD3DBE">
              <w:rPr>
                <w:sz w:val="20"/>
                <w:lang w:eastAsia="en-US"/>
              </w:rPr>
              <w:t>, 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P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 w:rsidRPr="00AD3DBE">
              <w:rPr>
                <w:sz w:val="20"/>
                <w:lang w:eastAsia="en-US"/>
              </w:rPr>
              <w:t>01.11.49.120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Молоко сырое крупного рогатого скота,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01.41.20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Горох сушеный,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01.11.75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Лошади живые,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01.43.10.100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Культуры зернобобовые (овощи бобовые сушеные</w:t>
            </w:r>
            <w:proofErr w:type="gramStart"/>
            <w:r>
              <w:rPr>
                <w:sz w:val="20"/>
                <w:lang w:eastAsia="en-US"/>
              </w:rPr>
              <w:t xml:space="preserve"> )</w:t>
            </w:r>
            <w:proofErr w:type="gramEnd"/>
            <w:r>
              <w:rPr>
                <w:sz w:val="20"/>
                <w:lang w:eastAsia="en-US"/>
              </w:rPr>
              <w:t xml:space="preserve"> прочие, не включенные в другие группировки, 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01.11.79.190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Ослы, кроме чистопородных племенных,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01.43.10.320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Бобы соевые,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01.11.81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Мулы и лошаки живые,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01.43.10.410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Семена рапса,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01.11.93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Овцы и козы,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01.45.12.001</w:t>
            </w:r>
            <w:r w:rsidRPr="007B4B1B">
              <w:rPr>
                <w:sz w:val="20"/>
                <w:lang w:eastAsia="en-US"/>
              </w:rPr>
              <w:t>.АГ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Семена подсолнечника,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01.11.95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Шерсть стриженая немытая овец и коз, включая стриженую шерсть, промытую руном,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01.45.30</w:t>
            </w:r>
          </w:p>
        </w:tc>
      </w:tr>
      <w:tr w:rsidR="00AD3DBE" w:rsidRPr="007B4B1B" w:rsidTr="007C2891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Рис </w:t>
            </w:r>
            <w:proofErr w:type="spellStart"/>
            <w:r>
              <w:rPr>
                <w:sz w:val="20"/>
                <w:lang w:eastAsia="en-US"/>
              </w:rPr>
              <w:t>нешелушеный</w:t>
            </w:r>
            <w:proofErr w:type="spellEnd"/>
            <w:r>
              <w:rPr>
                <w:sz w:val="20"/>
                <w:lang w:eastAsia="en-US"/>
              </w:rPr>
              <w:t>, 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E" w:rsidRDefault="00AD3DBE" w:rsidP="00AD3DBE">
            <w:pPr>
              <w:autoSpaceDN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01.12.10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Свиньи,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01.46.10.001</w:t>
            </w:r>
            <w:r w:rsidRPr="007B4B1B">
              <w:rPr>
                <w:sz w:val="20"/>
                <w:lang w:eastAsia="en-US"/>
              </w:rPr>
              <w:t>.АГ</w:t>
            </w:r>
          </w:p>
        </w:tc>
      </w:tr>
      <w:tr w:rsidR="00AD3DBE" w:rsidRPr="007B4B1B" w:rsidTr="007C2891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Капуста всех сортов,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01.13.12.001</w:t>
            </w:r>
            <w:r w:rsidRPr="007B4B1B">
              <w:rPr>
                <w:sz w:val="20"/>
                <w:lang w:eastAsia="en-US"/>
              </w:rPr>
              <w:t>.АГ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Птица сельскохозяйственная живая,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01.47.1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Культуры бахчевые,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01.13.2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Яйца куриные в скорлупе свежие,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тыс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01.47.21.000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Огурцы открытого грунта,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01.13.32.101</w:t>
            </w:r>
            <w:r w:rsidRPr="007B4B1B">
              <w:rPr>
                <w:sz w:val="20"/>
                <w:lang w:eastAsia="en-US"/>
              </w:rPr>
              <w:t>.АГ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Олени северные,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01.49.19.110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Огурцы закрытого грунта,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01.13.32.102</w:t>
            </w:r>
            <w:r w:rsidRPr="007B4B1B">
              <w:rPr>
                <w:sz w:val="20"/>
                <w:lang w:eastAsia="en-US"/>
              </w:rPr>
              <w:t>.АГ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Мед натуральный пчелиный,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01.49.21.110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Томаты (помидоры) открытого грунта,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01.13.34.101</w:t>
            </w:r>
            <w:r w:rsidRPr="007B4B1B">
              <w:rPr>
                <w:sz w:val="20"/>
                <w:lang w:eastAsia="en-US"/>
              </w:rPr>
              <w:t>.АГ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Шкурки невыделанные лисицы клеточного разведения,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01.49.</w:t>
            </w:r>
            <w:r>
              <w:rPr>
                <w:sz w:val="20"/>
                <w:lang w:val="en-US" w:eastAsia="en-US"/>
              </w:rPr>
              <w:t>19</w:t>
            </w:r>
            <w:r>
              <w:rPr>
                <w:sz w:val="20"/>
                <w:lang w:eastAsia="en-US"/>
              </w:rPr>
              <w:t>.001</w:t>
            </w:r>
            <w:r w:rsidRPr="007B4B1B">
              <w:rPr>
                <w:sz w:val="20"/>
                <w:lang w:eastAsia="en-US"/>
              </w:rPr>
              <w:t>.АГ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Томаты (помидоры) закрытого грунта,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01.13.34.102</w:t>
            </w:r>
            <w:r w:rsidRPr="007B4B1B">
              <w:rPr>
                <w:sz w:val="20"/>
                <w:lang w:eastAsia="en-US"/>
              </w:rPr>
              <w:t>.АГ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Шкурки невыделанные песца клеточного разведения,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01.49.</w:t>
            </w:r>
            <w:r>
              <w:rPr>
                <w:sz w:val="20"/>
                <w:lang w:val="en-US" w:eastAsia="en-US"/>
              </w:rPr>
              <w:t>19</w:t>
            </w:r>
            <w:r>
              <w:rPr>
                <w:sz w:val="20"/>
                <w:lang w:eastAsia="en-US"/>
              </w:rPr>
              <w:t>.002</w:t>
            </w:r>
            <w:r w:rsidRPr="007B4B1B">
              <w:rPr>
                <w:sz w:val="20"/>
                <w:lang w:eastAsia="en-US"/>
              </w:rPr>
              <w:t>.АГ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Морковь столовая,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01.13.41.110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Шкурки невыделанные норки клеточного разведения,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01.49.</w:t>
            </w:r>
            <w:r>
              <w:rPr>
                <w:sz w:val="20"/>
                <w:lang w:val="en-US" w:eastAsia="en-US"/>
              </w:rPr>
              <w:t>19</w:t>
            </w:r>
            <w:r>
              <w:rPr>
                <w:sz w:val="20"/>
                <w:lang w:eastAsia="en-US"/>
              </w:rPr>
              <w:t>.003</w:t>
            </w:r>
            <w:r w:rsidRPr="007B4B1B">
              <w:rPr>
                <w:sz w:val="20"/>
                <w:lang w:eastAsia="en-US"/>
              </w:rPr>
              <w:t>.АГ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Чеснок,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01.13.42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Шкурки невыделанные нутрии клеточного разведения,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01.49.</w:t>
            </w:r>
            <w:r>
              <w:rPr>
                <w:sz w:val="20"/>
                <w:lang w:val="en-US" w:eastAsia="en-US"/>
              </w:rPr>
              <w:t>19</w:t>
            </w:r>
            <w:r>
              <w:rPr>
                <w:sz w:val="20"/>
                <w:lang w:eastAsia="en-US"/>
              </w:rPr>
              <w:t>.004</w:t>
            </w:r>
            <w:r w:rsidRPr="007B4B1B">
              <w:rPr>
                <w:sz w:val="20"/>
                <w:lang w:eastAsia="en-US"/>
              </w:rPr>
              <w:t>.АГ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Лук репчатый,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01.13.43.110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Шкурки невыделанные соболя клеточного разведения,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01.49.</w:t>
            </w:r>
            <w:r>
              <w:rPr>
                <w:sz w:val="20"/>
                <w:lang w:val="en-US" w:eastAsia="en-US"/>
              </w:rPr>
              <w:t>19</w:t>
            </w:r>
            <w:r>
              <w:rPr>
                <w:sz w:val="20"/>
                <w:lang w:eastAsia="en-US"/>
              </w:rPr>
              <w:t>.005</w:t>
            </w:r>
            <w:r w:rsidRPr="007B4B1B">
              <w:rPr>
                <w:sz w:val="20"/>
                <w:lang w:eastAsia="en-US"/>
              </w:rPr>
              <w:t>.АГ</w:t>
            </w:r>
          </w:p>
        </w:tc>
      </w:tr>
      <w:tr w:rsidR="00AD3DBE" w:rsidRPr="007B4B1B" w:rsidTr="005B4223">
        <w:trPr>
          <w:trHeight w:val="70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Свекла столовая,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01.13.49.110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Шкурки невыделанные бобра клеточного разведения,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01.49.</w:t>
            </w:r>
            <w:r>
              <w:rPr>
                <w:sz w:val="20"/>
                <w:lang w:val="en-US" w:eastAsia="en-US"/>
              </w:rPr>
              <w:t>19</w:t>
            </w:r>
            <w:r>
              <w:rPr>
                <w:sz w:val="20"/>
                <w:lang w:eastAsia="en-US"/>
              </w:rPr>
              <w:t>.006</w:t>
            </w:r>
            <w:r w:rsidRPr="007B4B1B">
              <w:rPr>
                <w:sz w:val="20"/>
                <w:lang w:eastAsia="en-US"/>
              </w:rPr>
              <w:t>.АГ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Картофель,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01.13.51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Шкурки невыделанные ондатры клеточного разведения,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01.49.</w:t>
            </w:r>
            <w:r>
              <w:rPr>
                <w:sz w:val="20"/>
                <w:lang w:val="en-US" w:eastAsia="en-US"/>
              </w:rPr>
              <w:t>19</w:t>
            </w:r>
            <w:r>
              <w:rPr>
                <w:sz w:val="20"/>
                <w:lang w:eastAsia="en-US"/>
              </w:rPr>
              <w:t>.007</w:t>
            </w:r>
            <w:r w:rsidRPr="007B4B1B">
              <w:rPr>
                <w:sz w:val="20"/>
                <w:lang w:eastAsia="en-US"/>
              </w:rPr>
              <w:t>.АГ</w:t>
            </w:r>
          </w:p>
        </w:tc>
      </w:tr>
      <w:tr w:rsidR="00AD3DBE" w:rsidRPr="007B4B1B" w:rsidTr="005B4223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Корнеплоды свеклы сахарной, </w:t>
            </w:r>
            <w:proofErr w:type="gramStart"/>
            <w:r>
              <w:rPr>
                <w:sz w:val="20"/>
                <w:lang w:eastAsia="en-US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01.13.71.110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ind w:left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Шкурки невыделанные хоря клеточного разведения,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E" w:rsidRDefault="00AD3DBE" w:rsidP="00AD3DBE">
            <w:pPr>
              <w:autoSpaceDN w:val="0"/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01.49.</w:t>
            </w:r>
            <w:r>
              <w:rPr>
                <w:sz w:val="20"/>
                <w:lang w:val="en-US" w:eastAsia="en-US"/>
              </w:rPr>
              <w:t>19</w:t>
            </w:r>
            <w:r>
              <w:rPr>
                <w:sz w:val="20"/>
                <w:lang w:eastAsia="en-US"/>
              </w:rPr>
              <w:t>.008</w:t>
            </w:r>
            <w:r w:rsidRPr="007B4B1B">
              <w:rPr>
                <w:sz w:val="20"/>
                <w:lang w:eastAsia="en-US"/>
              </w:rPr>
              <w:t>.АГ</w:t>
            </w:r>
          </w:p>
        </w:tc>
      </w:tr>
    </w:tbl>
    <w:p w:rsidR="00DA7BCD" w:rsidRPr="005B4223" w:rsidRDefault="005B4223" w:rsidP="00496EA6">
      <w:pPr>
        <w:pStyle w:val="affb"/>
      </w:pPr>
      <w:r w:rsidRPr="007B4B1B">
        <w:rPr>
          <w:lang w:eastAsia="en-US"/>
        </w:rPr>
        <w:lastRenderedPageBreak/>
        <w:t>АГ</w:t>
      </w:r>
      <w:r w:rsidR="009E1FCF">
        <w:rPr>
          <w:lang w:eastAsia="en-US"/>
        </w:rPr>
        <w:t xml:space="preserve"> </w:t>
      </w:r>
      <w:r w:rsidRPr="003E0852">
        <w:rPr>
          <w:lang w:eastAsia="en-US"/>
        </w:rPr>
        <w:t>-</w:t>
      </w:r>
      <w:r>
        <w:t xml:space="preserve"> </w:t>
      </w:r>
      <w:r w:rsidR="00DA7BCD">
        <w:t xml:space="preserve">Локальный код </w:t>
      </w:r>
      <w:r>
        <w:t>по ОКПД</w:t>
      </w:r>
      <w:proofErr w:type="gramStart"/>
      <w:r>
        <w:t>2</w:t>
      </w:r>
      <w:proofErr w:type="gramEnd"/>
    </w:p>
    <w:p w:rsidR="00DA7BCD" w:rsidRDefault="00DA7BCD" w:rsidP="00DA7BCD">
      <w:pPr>
        <w:pStyle w:val="afff4"/>
        <w:rPr>
          <w:rFonts w:ascii="Times New Roman" w:hAnsi="Times New Roman"/>
          <w:sz w:val="20"/>
        </w:rPr>
      </w:pPr>
    </w:p>
    <w:p w:rsidR="002E0646" w:rsidRPr="002E0646" w:rsidRDefault="002E0646" w:rsidP="002E0646">
      <w:pPr>
        <w:spacing w:after="120" w:line="260" w:lineRule="exact"/>
        <w:ind w:firstLine="709"/>
        <w:jc w:val="both"/>
      </w:pPr>
      <w:r w:rsidRPr="002E0646">
        <w:t>В графе</w:t>
      </w:r>
      <w:proofErr w:type="gramStart"/>
      <w:r w:rsidRPr="002E0646">
        <w:t xml:space="preserve"> Д</w:t>
      </w:r>
      <w:proofErr w:type="gramEnd"/>
      <w:r w:rsidRPr="002E0646">
        <w:t xml:space="preserve"> приводится код канала реализации:</w:t>
      </w:r>
    </w:p>
    <w:tbl>
      <w:tblPr>
        <w:tblW w:w="14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276"/>
        <w:gridCol w:w="6095"/>
        <w:gridCol w:w="1219"/>
      </w:tblGrid>
      <w:tr w:rsidR="002E0646" w:rsidRPr="002E0646" w:rsidTr="008A70F9">
        <w:trPr>
          <w:jc w:val="center"/>
        </w:trPr>
        <w:tc>
          <w:tcPr>
            <w:tcW w:w="6204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Канал реализации</w:t>
            </w:r>
          </w:p>
        </w:tc>
        <w:tc>
          <w:tcPr>
            <w:tcW w:w="1276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Код канала реализации</w:t>
            </w:r>
          </w:p>
        </w:tc>
        <w:tc>
          <w:tcPr>
            <w:tcW w:w="6095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Канал реализации</w:t>
            </w:r>
          </w:p>
        </w:tc>
        <w:tc>
          <w:tcPr>
            <w:tcW w:w="1219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Код канала реализации</w:t>
            </w:r>
          </w:p>
        </w:tc>
      </w:tr>
      <w:tr w:rsidR="002E0646" w:rsidRPr="002E0646" w:rsidTr="008A70F9">
        <w:trPr>
          <w:jc w:val="center"/>
        </w:trPr>
        <w:tc>
          <w:tcPr>
            <w:tcW w:w="6204" w:type="dxa"/>
            <w:shd w:val="clear" w:color="auto" w:fill="auto"/>
          </w:tcPr>
          <w:p w:rsidR="002E0646" w:rsidRPr="002E0646" w:rsidRDefault="002E0646" w:rsidP="008A70F9">
            <w:pPr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Предприятия и организации, осуществляющие закупки для государственных и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Субъектам оптового рынка</w:t>
            </w:r>
          </w:p>
        </w:tc>
        <w:tc>
          <w:tcPr>
            <w:tcW w:w="1219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2E0646">
              <w:rPr>
                <w:rFonts w:eastAsia="Calibri"/>
                <w:sz w:val="20"/>
                <w:lang w:val="en-US"/>
              </w:rPr>
              <w:t>26</w:t>
            </w:r>
          </w:p>
        </w:tc>
      </w:tr>
      <w:tr w:rsidR="002E0646" w:rsidRPr="002E0646" w:rsidTr="008A70F9">
        <w:trPr>
          <w:jc w:val="center"/>
        </w:trPr>
        <w:tc>
          <w:tcPr>
            <w:tcW w:w="6204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Потребкооперация</w:t>
            </w:r>
          </w:p>
        </w:tc>
        <w:tc>
          <w:tcPr>
            <w:tcW w:w="1276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Другим организациям</w:t>
            </w:r>
          </w:p>
        </w:tc>
        <w:tc>
          <w:tcPr>
            <w:tcW w:w="1219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2E0646">
              <w:rPr>
                <w:rFonts w:eastAsia="Calibri"/>
                <w:sz w:val="20"/>
                <w:lang w:val="en-US"/>
              </w:rPr>
              <w:t>27</w:t>
            </w:r>
          </w:p>
        </w:tc>
      </w:tr>
      <w:tr w:rsidR="002E0646" w:rsidRPr="002E0646" w:rsidTr="008A70F9">
        <w:trPr>
          <w:jc w:val="center"/>
        </w:trPr>
        <w:tc>
          <w:tcPr>
            <w:tcW w:w="6204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Заготовительные организации</w:t>
            </w:r>
          </w:p>
        </w:tc>
        <w:tc>
          <w:tcPr>
            <w:tcW w:w="1276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Перерабатывающим предприятиям на территории субъекта Российской Федерации</w:t>
            </w:r>
          </w:p>
        </w:tc>
        <w:tc>
          <w:tcPr>
            <w:tcW w:w="1219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2E0646">
              <w:rPr>
                <w:rFonts w:eastAsia="Calibri"/>
                <w:sz w:val="20"/>
                <w:lang w:val="en-US"/>
              </w:rPr>
              <w:t>28</w:t>
            </w:r>
          </w:p>
        </w:tc>
      </w:tr>
      <w:tr w:rsidR="002E0646" w:rsidRPr="002E0646" w:rsidTr="008A70F9">
        <w:trPr>
          <w:jc w:val="center"/>
        </w:trPr>
        <w:tc>
          <w:tcPr>
            <w:tcW w:w="6204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Другие каналы</w:t>
            </w:r>
          </w:p>
        </w:tc>
        <w:tc>
          <w:tcPr>
            <w:tcW w:w="1276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Перерабатывающим предприятиям за пределами субъекта Российской Федерации</w:t>
            </w:r>
          </w:p>
        </w:tc>
        <w:tc>
          <w:tcPr>
            <w:tcW w:w="1219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2E0646">
              <w:rPr>
                <w:rFonts w:eastAsia="Calibri"/>
                <w:sz w:val="20"/>
                <w:lang w:val="en-US"/>
              </w:rPr>
              <w:t>29</w:t>
            </w:r>
          </w:p>
        </w:tc>
      </w:tr>
      <w:tr w:rsidR="002E0646" w:rsidRPr="002E0646" w:rsidTr="008A70F9">
        <w:trPr>
          <w:jc w:val="center"/>
        </w:trPr>
        <w:tc>
          <w:tcPr>
            <w:tcW w:w="6204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Через собственные торговые точки</w:t>
            </w:r>
          </w:p>
        </w:tc>
        <w:tc>
          <w:tcPr>
            <w:tcW w:w="1276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Работникам в счет оплаты труда</w:t>
            </w:r>
          </w:p>
        </w:tc>
        <w:tc>
          <w:tcPr>
            <w:tcW w:w="1219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2E0646">
              <w:rPr>
                <w:rFonts w:eastAsia="Calibri"/>
                <w:sz w:val="20"/>
                <w:lang w:val="en-US"/>
              </w:rPr>
              <w:t>30</w:t>
            </w:r>
          </w:p>
        </w:tc>
      </w:tr>
      <w:tr w:rsidR="002E0646" w:rsidRPr="002E0646" w:rsidTr="008A70F9">
        <w:trPr>
          <w:jc w:val="center"/>
        </w:trPr>
        <w:tc>
          <w:tcPr>
            <w:tcW w:w="6204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Отечественные сельскохозяйственные потребители</w:t>
            </w:r>
          </w:p>
        </w:tc>
        <w:tc>
          <w:tcPr>
            <w:tcW w:w="1276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Школам и детским садам</w:t>
            </w:r>
          </w:p>
        </w:tc>
        <w:tc>
          <w:tcPr>
            <w:tcW w:w="1219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2E0646">
              <w:rPr>
                <w:rFonts w:eastAsia="Calibri"/>
                <w:sz w:val="20"/>
                <w:lang w:val="en-US"/>
              </w:rPr>
              <w:t>31</w:t>
            </w:r>
          </w:p>
        </w:tc>
      </w:tr>
      <w:tr w:rsidR="002E0646" w:rsidRPr="002E0646" w:rsidTr="008A70F9">
        <w:trPr>
          <w:jc w:val="center"/>
        </w:trPr>
        <w:tc>
          <w:tcPr>
            <w:tcW w:w="6204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На рынке, через собственные магазины, палатки, киоски</w:t>
            </w:r>
          </w:p>
        </w:tc>
        <w:tc>
          <w:tcPr>
            <w:tcW w:w="1276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Воинским частям</w:t>
            </w:r>
          </w:p>
        </w:tc>
        <w:tc>
          <w:tcPr>
            <w:tcW w:w="1219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2E0646">
              <w:rPr>
                <w:rFonts w:eastAsia="Calibri"/>
                <w:sz w:val="20"/>
                <w:lang w:val="en-US"/>
              </w:rPr>
              <w:t>32</w:t>
            </w:r>
          </w:p>
        </w:tc>
      </w:tr>
      <w:tr w:rsidR="002E0646" w:rsidRPr="002E0646" w:rsidTr="008A70F9">
        <w:trPr>
          <w:jc w:val="center"/>
        </w:trPr>
        <w:tc>
          <w:tcPr>
            <w:tcW w:w="6204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Без выделения канала реализации</w:t>
            </w:r>
          </w:p>
        </w:tc>
        <w:tc>
          <w:tcPr>
            <w:tcW w:w="1276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2E0646">
              <w:rPr>
                <w:rFonts w:eastAsia="Calibri"/>
                <w:sz w:val="20"/>
                <w:lang w:val="en-US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На мясокомбинат</w:t>
            </w:r>
          </w:p>
        </w:tc>
        <w:tc>
          <w:tcPr>
            <w:tcW w:w="1219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2E0646">
              <w:rPr>
                <w:rFonts w:eastAsia="Calibri"/>
                <w:sz w:val="20"/>
                <w:lang w:val="en-US"/>
              </w:rPr>
              <w:t>33</w:t>
            </w:r>
          </w:p>
        </w:tc>
      </w:tr>
      <w:tr w:rsidR="002E0646" w:rsidRPr="002E0646" w:rsidTr="008A70F9">
        <w:trPr>
          <w:jc w:val="center"/>
        </w:trPr>
        <w:tc>
          <w:tcPr>
            <w:tcW w:w="6204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Населению</w:t>
            </w:r>
          </w:p>
        </w:tc>
        <w:tc>
          <w:tcPr>
            <w:tcW w:w="1276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2E0646">
              <w:rPr>
                <w:rFonts w:eastAsia="Calibri"/>
                <w:sz w:val="20"/>
                <w:lang w:val="en-US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Оленеводам</w:t>
            </w:r>
          </w:p>
        </w:tc>
        <w:tc>
          <w:tcPr>
            <w:tcW w:w="1219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2E0646">
              <w:rPr>
                <w:rFonts w:eastAsia="Calibri"/>
                <w:sz w:val="20"/>
                <w:lang w:val="en-US"/>
              </w:rPr>
              <w:t>34</w:t>
            </w:r>
          </w:p>
        </w:tc>
      </w:tr>
      <w:tr w:rsidR="002E0646" w:rsidRPr="002E0646" w:rsidTr="008A70F9">
        <w:trPr>
          <w:jc w:val="center"/>
        </w:trPr>
        <w:tc>
          <w:tcPr>
            <w:tcW w:w="6204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  <w:r w:rsidRPr="002E0646">
              <w:rPr>
                <w:rFonts w:eastAsia="Calibri"/>
                <w:sz w:val="20"/>
              </w:rPr>
              <w:t>Частным предпринимателям</w:t>
            </w:r>
          </w:p>
        </w:tc>
        <w:tc>
          <w:tcPr>
            <w:tcW w:w="1276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2E0646">
              <w:rPr>
                <w:rFonts w:eastAsia="Calibri"/>
                <w:sz w:val="20"/>
                <w:lang w:val="en-US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:rsidR="002E0646" w:rsidRPr="002E0646" w:rsidRDefault="002E0646" w:rsidP="008A70F9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2E0646" w:rsidRPr="002E0646" w:rsidRDefault="002E0646" w:rsidP="008A70F9">
            <w:pPr>
              <w:jc w:val="center"/>
              <w:rPr>
                <w:rFonts w:eastAsia="Calibri"/>
                <w:sz w:val="20"/>
                <w:lang w:val="en-US"/>
              </w:rPr>
            </w:pPr>
          </w:p>
        </w:tc>
      </w:tr>
    </w:tbl>
    <w:p w:rsidR="002E0646" w:rsidRPr="002E0646" w:rsidRDefault="002E0646" w:rsidP="002E0646">
      <w:pPr>
        <w:ind w:firstLine="709"/>
        <w:jc w:val="both"/>
        <w:rPr>
          <w:sz w:val="16"/>
        </w:rPr>
      </w:pPr>
    </w:p>
    <w:p w:rsidR="002E0646" w:rsidRDefault="002E0646" w:rsidP="002E0646">
      <w:pPr>
        <w:ind w:firstLine="709"/>
        <w:jc w:val="both"/>
      </w:pPr>
      <w:r w:rsidRPr="002E0646">
        <w:t>В графе</w:t>
      </w:r>
      <w:proofErr w:type="gramStart"/>
      <w:r w:rsidRPr="002E0646">
        <w:t xml:space="preserve"> Е</w:t>
      </w:r>
      <w:proofErr w:type="gramEnd"/>
      <w:r w:rsidRPr="002E0646">
        <w:t xml:space="preserve"> приводится единица измерения количества товара.</w:t>
      </w:r>
    </w:p>
    <w:p w:rsidR="00DA7BCD" w:rsidRDefault="00DA7BCD" w:rsidP="00DA7BCD">
      <w:pPr>
        <w:ind w:firstLine="709"/>
        <w:jc w:val="both"/>
      </w:pPr>
      <w:r>
        <w:t xml:space="preserve">В графе 1 проставляются цены на сельскохозяйственную продукцию с учетом надбавок и скидок за качество реализованной продукции, без расходов на транспортировку, экспедирование, погрузку и разгрузку продукции, налога на добавленную стоимость. Данные о ценах приводятся на сельскохозяйственную продукцию собственного производства, фактически реализованную покупателям в момент регистрации цен. В состав регистрируемой цены не включаются дополнительные затраты сверх цены производства, которые приводятся в платежных документах. Например, </w:t>
      </w:r>
      <w:r>
        <w:rPr>
          <w:i/>
        </w:rPr>
        <w:t>затраты на тару для транспортирования овощей, оплачиваемые заказчиком отдельно</w:t>
      </w:r>
      <w:r>
        <w:t>.</w:t>
      </w:r>
    </w:p>
    <w:p w:rsidR="00DA7BCD" w:rsidRDefault="00DA7BCD" w:rsidP="00DA7BCD">
      <w:pPr>
        <w:ind w:firstLine="709"/>
        <w:jc w:val="both"/>
      </w:pPr>
      <w:r>
        <w:t>В графе 2 приводится количество реализованной продукции за предыдущий месяц (период с 1-го по 30 (31) число) по тем видам, на которые зарегистрирована цена в отчетном месяце. В случае, когда в предыдущем месяце не было реализации данного вида продукции, количество в графе 2 не проставляется.</w:t>
      </w:r>
    </w:p>
    <w:p w:rsidR="00394AD7" w:rsidRDefault="00394AD7" w:rsidP="00394AD7">
      <w:pPr>
        <w:ind w:firstLine="709"/>
        <w:jc w:val="both"/>
        <w:rPr>
          <w:i/>
        </w:rPr>
      </w:pPr>
      <w:r>
        <w:t>По отдельным видам сельскохозяйственной продукции, реализуемой заготовительным пунктам, следует количество указывать в заче</w:t>
      </w:r>
      <w:r w:rsidR="00293BC8">
        <w:t xml:space="preserve">тном весе, принятом к оплате, то </w:t>
      </w:r>
      <w:r>
        <w:t>е</w:t>
      </w:r>
      <w:r w:rsidR="00293BC8">
        <w:t>сть</w:t>
      </w:r>
      <w:r>
        <w:t xml:space="preserve"> фактическое количество, пересчитанное с учетом установленного стандартами качества. Например, </w:t>
      </w:r>
      <w:r>
        <w:rPr>
          <w:i/>
        </w:rPr>
        <w:t xml:space="preserve">на пшеницу - с установленным процентом влажности и засоренности, на молоко сырое крупного рогатого скота - с  </w:t>
      </w:r>
      <w:r w:rsidRPr="00BE5A22">
        <w:rPr>
          <w:i/>
        </w:rPr>
        <w:t>жирностью 3,4%</w:t>
      </w:r>
      <w:r w:rsidR="00BE5A22">
        <w:rPr>
          <w:i/>
        </w:rPr>
        <w:t xml:space="preserve"> и так далее.</w:t>
      </w:r>
    </w:p>
    <w:p w:rsidR="00394AD7" w:rsidRPr="00394AD7" w:rsidRDefault="00394AD7" w:rsidP="00BE5A22">
      <w:pPr>
        <w:ind w:firstLine="709"/>
        <w:jc w:val="both"/>
      </w:pPr>
      <w:r w:rsidRPr="00394AD7">
        <w:t>Если молоко имеет другую жирность, то следует пересчитать информацию о цене и количестве, исходя из жирности молока 3,4%. При этом количество молока умножается на фактическую жирность и делится на 3,4, а цена - умножается на 3,4 и делится на фактическую жирность.</w:t>
      </w:r>
    </w:p>
    <w:p w:rsidR="00394AD7" w:rsidRPr="00394AD7" w:rsidRDefault="00394AD7" w:rsidP="00BE5A22">
      <w:pPr>
        <w:ind w:firstLine="709"/>
        <w:jc w:val="both"/>
      </w:pPr>
      <w:r w:rsidRPr="00394AD7">
        <w:t>Например, организация реализовала 5 тонн молока жирностью 3,5% по цене 23500 рублей. При пересчете на жирность 3,4% указанные показатели составят:</w:t>
      </w:r>
    </w:p>
    <w:p w:rsidR="00394AD7" w:rsidRPr="00394AD7" w:rsidRDefault="00394AD7" w:rsidP="00394AD7">
      <w:pPr>
        <w:ind w:firstLine="709"/>
      </w:pPr>
    </w:p>
    <w:tbl>
      <w:tblPr>
        <w:tblW w:w="0" w:type="auto"/>
        <w:tblLook w:val="04A0"/>
      </w:tblPr>
      <w:tblGrid>
        <w:gridCol w:w="1668"/>
        <w:gridCol w:w="1134"/>
        <w:gridCol w:w="2551"/>
        <w:gridCol w:w="933"/>
        <w:gridCol w:w="1477"/>
        <w:gridCol w:w="2835"/>
      </w:tblGrid>
      <w:tr w:rsidR="00394AD7" w:rsidRPr="00E8390C" w:rsidTr="003015F5">
        <w:tc>
          <w:tcPr>
            <w:tcW w:w="1668" w:type="dxa"/>
            <w:vMerge w:val="restart"/>
            <w:shd w:val="clear" w:color="auto" w:fill="auto"/>
            <w:hideMark/>
          </w:tcPr>
          <w:p w:rsidR="00394AD7" w:rsidRPr="00E8390C" w:rsidRDefault="00394AD7" w:rsidP="003015F5">
            <w:pPr>
              <w:autoSpaceDN w:val="0"/>
              <w:spacing w:before="120"/>
              <w:jc w:val="both"/>
              <w:rPr>
                <w:lang w:eastAsia="en-US"/>
              </w:rPr>
            </w:pPr>
            <w:r w:rsidRPr="00E8390C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394AD7" w:rsidRPr="00E8390C" w:rsidRDefault="00394AD7" w:rsidP="003015F5">
            <w:pPr>
              <w:autoSpaceDN w:val="0"/>
              <w:jc w:val="both"/>
              <w:rPr>
                <w:lang w:eastAsia="en-US"/>
              </w:rPr>
            </w:pPr>
            <w:r w:rsidRPr="00E8390C">
              <w:rPr>
                <w:rFonts w:eastAsia="Calibri"/>
                <w:u w:val="single"/>
                <w:lang w:eastAsia="en-US"/>
              </w:rPr>
              <w:t xml:space="preserve">  5 * 3,5</w:t>
            </w:r>
            <w:r w:rsidRPr="00E8390C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394AD7" w:rsidRPr="00E8390C" w:rsidRDefault="00394AD7" w:rsidP="003015F5">
            <w:pPr>
              <w:autoSpaceDN w:val="0"/>
              <w:spacing w:before="120"/>
              <w:jc w:val="both"/>
              <w:rPr>
                <w:lang w:eastAsia="en-US"/>
              </w:rPr>
            </w:pPr>
            <w:r w:rsidRPr="00E8390C">
              <w:rPr>
                <w:rFonts w:eastAsia="Calibri"/>
                <w:lang w:eastAsia="en-US"/>
              </w:rPr>
              <w:t>= 5,15 тонн</w:t>
            </w:r>
          </w:p>
        </w:tc>
        <w:tc>
          <w:tcPr>
            <w:tcW w:w="933" w:type="dxa"/>
            <w:vMerge w:val="restart"/>
            <w:shd w:val="clear" w:color="auto" w:fill="auto"/>
            <w:hideMark/>
          </w:tcPr>
          <w:p w:rsidR="00394AD7" w:rsidRPr="00E8390C" w:rsidRDefault="00394AD7" w:rsidP="003015F5">
            <w:pPr>
              <w:autoSpaceDN w:val="0"/>
              <w:spacing w:before="120"/>
              <w:jc w:val="both"/>
              <w:rPr>
                <w:lang w:eastAsia="en-US"/>
              </w:rPr>
            </w:pPr>
            <w:r w:rsidRPr="00E8390C">
              <w:rPr>
                <w:rFonts w:eastAsia="Calibri"/>
                <w:lang w:eastAsia="en-US"/>
              </w:rPr>
              <w:t>цена</w:t>
            </w:r>
          </w:p>
        </w:tc>
        <w:tc>
          <w:tcPr>
            <w:tcW w:w="1477" w:type="dxa"/>
            <w:shd w:val="clear" w:color="auto" w:fill="auto"/>
            <w:hideMark/>
          </w:tcPr>
          <w:p w:rsidR="00394AD7" w:rsidRPr="00E8390C" w:rsidRDefault="00394AD7" w:rsidP="003015F5">
            <w:pPr>
              <w:autoSpaceDN w:val="0"/>
              <w:jc w:val="both"/>
              <w:rPr>
                <w:u w:val="single"/>
                <w:lang w:eastAsia="en-US"/>
              </w:rPr>
            </w:pPr>
            <w:r w:rsidRPr="00E8390C">
              <w:rPr>
                <w:rFonts w:eastAsia="Calibri"/>
                <w:u w:val="single"/>
                <w:lang w:eastAsia="en-US"/>
              </w:rPr>
              <w:t>23500 * 3,4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94AD7" w:rsidRPr="00E8390C" w:rsidRDefault="00394AD7" w:rsidP="003015F5">
            <w:pPr>
              <w:autoSpaceDN w:val="0"/>
              <w:spacing w:before="120"/>
              <w:jc w:val="both"/>
              <w:rPr>
                <w:lang w:eastAsia="en-US"/>
              </w:rPr>
            </w:pPr>
            <w:r w:rsidRPr="00E8390C">
              <w:rPr>
                <w:rFonts w:eastAsia="Calibri"/>
                <w:lang w:eastAsia="en-US"/>
              </w:rPr>
              <w:t>= 22828,57 рублей</w:t>
            </w:r>
          </w:p>
        </w:tc>
      </w:tr>
      <w:tr w:rsidR="00394AD7" w:rsidRPr="00E8390C" w:rsidTr="003015F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4AD7" w:rsidRPr="00E8390C" w:rsidRDefault="00394AD7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4AD7" w:rsidRPr="00E8390C" w:rsidRDefault="00394AD7" w:rsidP="003015F5">
            <w:pPr>
              <w:autoSpaceDN w:val="0"/>
              <w:jc w:val="center"/>
              <w:rPr>
                <w:lang w:eastAsia="en-US"/>
              </w:rPr>
            </w:pPr>
            <w:r w:rsidRPr="00E8390C">
              <w:rPr>
                <w:rFonts w:eastAsia="Calibri"/>
                <w:lang w:eastAsia="en-US"/>
              </w:rPr>
              <w:t xml:space="preserve">3,4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4AD7" w:rsidRPr="00E8390C" w:rsidRDefault="00394AD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4AD7" w:rsidRPr="00E8390C" w:rsidRDefault="00394AD7">
            <w:pPr>
              <w:rPr>
                <w:lang w:eastAsia="en-US"/>
              </w:rPr>
            </w:pPr>
          </w:p>
        </w:tc>
        <w:tc>
          <w:tcPr>
            <w:tcW w:w="1477" w:type="dxa"/>
            <w:shd w:val="clear" w:color="auto" w:fill="auto"/>
            <w:hideMark/>
          </w:tcPr>
          <w:p w:rsidR="00394AD7" w:rsidRPr="00E8390C" w:rsidRDefault="00394AD7" w:rsidP="003015F5">
            <w:pPr>
              <w:autoSpaceDN w:val="0"/>
              <w:jc w:val="both"/>
              <w:rPr>
                <w:lang w:eastAsia="en-US"/>
              </w:rPr>
            </w:pPr>
            <w:r w:rsidRPr="00E8390C">
              <w:rPr>
                <w:rFonts w:eastAsia="Calibri"/>
                <w:lang w:eastAsia="en-US"/>
              </w:rPr>
              <w:t xml:space="preserve">       3,5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4AD7" w:rsidRPr="00E8390C" w:rsidRDefault="00394AD7">
            <w:pPr>
              <w:rPr>
                <w:lang w:eastAsia="en-US"/>
              </w:rPr>
            </w:pPr>
          </w:p>
        </w:tc>
      </w:tr>
    </w:tbl>
    <w:p w:rsidR="00394AD7" w:rsidRPr="00E8390C" w:rsidRDefault="00394AD7" w:rsidP="00394AD7">
      <w:pPr>
        <w:ind w:firstLine="709"/>
      </w:pPr>
    </w:p>
    <w:p w:rsidR="00DA7BCD" w:rsidRDefault="00DA7BCD" w:rsidP="00DA7BCD">
      <w:pPr>
        <w:ind w:firstLine="709"/>
        <w:jc w:val="both"/>
      </w:pPr>
      <w:r>
        <w:t xml:space="preserve">В позицию </w:t>
      </w:r>
      <w:r>
        <w:rPr>
          <w:i/>
        </w:rPr>
        <w:t>«ячмень»</w:t>
      </w:r>
      <w:r>
        <w:t xml:space="preserve"> включается также и ячмень пивоваренный.</w:t>
      </w:r>
    </w:p>
    <w:p w:rsidR="00DA7BCD" w:rsidRDefault="00DA7BCD" w:rsidP="00DA7BCD">
      <w:pPr>
        <w:ind w:firstLine="709"/>
        <w:jc w:val="both"/>
      </w:pPr>
      <w:r>
        <w:t xml:space="preserve">По позиции </w:t>
      </w:r>
      <w:r>
        <w:rPr>
          <w:i/>
        </w:rPr>
        <w:t>«овощи бобовые сушеные (зернобобовые культуры), не включенные в другие группировки, прочие»</w:t>
      </w:r>
      <w:r>
        <w:t xml:space="preserve"> приводится информация о цене и количестве реализации фасоли, чечевицы и других зернобобовых культур.</w:t>
      </w:r>
    </w:p>
    <w:p w:rsidR="00DA7BCD" w:rsidRDefault="00DA7BCD" w:rsidP="00DA7BCD">
      <w:pPr>
        <w:ind w:firstLine="709"/>
        <w:jc w:val="both"/>
      </w:pPr>
      <w:r>
        <w:t xml:space="preserve">По позициям </w:t>
      </w:r>
      <w:r>
        <w:rPr>
          <w:i/>
        </w:rPr>
        <w:t>«семена подсолнечника»</w:t>
      </w:r>
      <w:r>
        <w:t xml:space="preserve"> и </w:t>
      </w:r>
      <w:r>
        <w:rPr>
          <w:i/>
        </w:rPr>
        <w:t>«</w:t>
      </w:r>
      <w:r w:rsidR="004336EF">
        <w:rPr>
          <w:i/>
        </w:rPr>
        <w:t>корнеплоды свеклы сахарной</w:t>
      </w:r>
      <w:r>
        <w:rPr>
          <w:i/>
        </w:rPr>
        <w:t>»</w:t>
      </w:r>
      <w:r>
        <w:t xml:space="preserve"> в форме не должна отражаться продукция, цены на которую получены в результате пересчета переработанной на давальческих началах сельскохозяйственной продукции (например, </w:t>
      </w:r>
      <w:r w:rsidR="004336EF" w:rsidRPr="00E866A8">
        <w:rPr>
          <w:i/>
        </w:rPr>
        <w:t>корнеплоды</w:t>
      </w:r>
      <w:r w:rsidR="004336EF">
        <w:t xml:space="preserve"> </w:t>
      </w:r>
      <w:r w:rsidR="004336EF">
        <w:rPr>
          <w:i/>
        </w:rPr>
        <w:t>свеклы сахарной, пересчитанные</w:t>
      </w:r>
      <w:r>
        <w:rPr>
          <w:i/>
        </w:rPr>
        <w:t xml:space="preserve"> из сахара; семена подсолнечника - из масла подсолнечного</w:t>
      </w:r>
      <w:r>
        <w:t>).</w:t>
      </w:r>
    </w:p>
    <w:p w:rsidR="002E0646" w:rsidRPr="002E0646" w:rsidRDefault="002E0646" w:rsidP="002E0646">
      <w:pPr>
        <w:ind w:firstLine="709"/>
        <w:jc w:val="both"/>
        <w:rPr>
          <w:i/>
        </w:rPr>
      </w:pPr>
      <w:r w:rsidRPr="002E0646">
        <w:t>По продукции</w:t>
      </w:r>
      <w:r w:rsidRPr="002E0646">
        <w:rPr>
          <w:i/>
        </w:rPr>
        <w:t xml:space="preserve"> растениеводства </w:t>
      </w:r>
      <w:r w:rsidRPr="002E0646">
        <w:t xml:space="preserve">в наблюдение не включаются культуры, предназначенные для посева (например, </w:t>
      </w:r>
      <w:r w:rsidRPr="002E0646">
        <w:rPr>
          <w:i/>
        </w:rPr>
        <w:t>картофель семенной, лук-севок, горох посевной</w:t>
      </w:r>
      <w:r w:rsidRPr="002E0646">
        <w:t>)</w:t>
      </w:r>
      <w:r w:rsidRPr="002E0646">
        <w:rPr>
          <w:i/>
        </w:rPr>
        <w:t>.</w:t>
      </w:r>
    </w:p>
    <w:p w:rsidR="002E0646" w:rsidRPr="00664D55" w:rsidRDefault="002E0646" w:rsidP="002E0646">
      <w:pPr>
        <w:ind w:firstLine="709"/>
        <w:jc w:val="both"/>
        <w:rPr>
          <w:highlight w:val="yellow"/>
        </w:rPr>
      </w:pPr>
      <w:r w:rsidRPr="002E0646">
        <w:t xml:space="preserve">Данные о ценах и количестве реализованных скота и птицы приводятся в живом весе. В случае реализации продукции </w:t>
      </w:r>
      <w:r w:rsidRPr="002E0646">
        <w:rPr>
          <w:i/>
        </w:rPr>
        <w:t>животноводства</w:t>
      </w:r>
      <w:r w:rsidRPr="002E0646">
        <w:t xml:space="preserve"> в убойном весе организациям следует осуществлять пересчет цены и количества в расчете на живой вес. В наблюдение</w:t>
      </w:r>
      <w:r>
        <w:t xml:space="preserve"> не включаются чистопородные племенные виды скота и виды птицы племенного разведения, а также скот и птица, проданные </w:t>
      </w:r>
      <w:proofErr w:type="spellStart"/>
      <w:r>
        <w:t>биофабрикам</w:t>
      </w:r>
      <w:proofErr w:type="spellEnd"/>
      <w:r>
        <w:t xml:space="preserve"> и </w:t>
      </w:r>
      <w:proofErr w:type="spellStart"/>
      <w:r>
        <w:t>биокомбинатам</w:t>
      </w:r>
      <w:proofErr w:type="spellEnd"/>
      <w:r>
        <w:t>.</w:t>
      </w:r>
    </w:p>
    <w:p w:rsidR="00DA7BCD" w:rsidRDefault="00DA7BCD" w:rsidP="00DA7BCD">
      <w:pPr>
        <w:ind w:firstLine="709"/>
        <w:jc w:val="both"/>
      </w:pPr>
      <w:r>
        <w:t>Данные о цене и количестве приводятся с двумя десятичными знаками после запятой.</w:t>
      </w:r>
    </w:p>
    <w:p w:rsidR="00DA7BCD" w:rsidRDefault="00DA7BCD" w:rsidP="00DA7BCD">
      <w:pPr>
        <w:pStyle w:val="12"/>
        <w:spacing w:before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графе 3 по каждому виду продукции следует указать причину изменения цены отчетного месяца по сравнению с ценой предыдущего месяца, проставив один из следующих кодов:</w:t>
      </w:r>
    </w:p>
    <w:p w:rsidR="00DA7BCD" w:rsidRDefault="00DA7BCD" w:rsidP="00DA7BCD">
      <w:pPr>
        <w:ind w:firstLine="567"/>
        <w:jc w:val="both"/>
        <w:rPr>
          <w:sz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465"/>
        <w:gridCol w:w="5735"/>
        <w:gridCol w:w="1620"/>
      </w:tblGrid>
      <w:tr w:rsidR="00DA7BCD" w:rsidTr="00DA7BC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D" w:rsidRDefault="00DA7BCD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причины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D" w:rsidRDefault="00DA7B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причины</w:t>
            </w:r>
          </w:p>
        </w:tc>
      </w:tr>
      <w:tr w:rsidR="00DA7BCD" w:rsidTr="00DA7BC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A7BCD" w:rsidTr="00DA7BC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Изменение объема производства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Цены установлены вышестоящей организацией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DA7BCD" w:rsidTr="00DA7BC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Заключение новых договоров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Изменение затрат на производство или уровня рентабельности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DA7BCD" w:rsidTr="00DA7BC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Сезонное изменение цен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Другие причины изменения цены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A7BCD" w:rsidTr="00DA7BC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Изменение спроса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D" w:rsidRDefault="00DA7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D" w:rsidRDefault="00DA7BCD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D" w:rsidRDefault="00DA7BCD">
            <w:pPr>
              <w:jc w:val="center"/>
              <w:rPr>
                <w:sz w:val="20"/>
              </w:rPr>
            </w:pPr>
          </w:p>
        </w:tc>
      </w:tr>
    </w:tbl>
    <w:p w:rsidR="00DA7BCD" w:rsidRDefault="00DA7BCD" w:rsidP="00DA7BCD">
      <w:pPr>
        <w:ind w:firstLine="567"/>
        <w:jc w:val="both"/>
        <w:rPr>
          <w:sz w:val="20"/>
        </w:rPr>
      </w:pPr>
    </w:p>
    <w:p w:rsidR="00DA7BCD" w:rsidRPr="000E044A" w:rsidRDefault="00DA7BCD" w:rsidP="00DA7BCD">
      <w:pPr>
        <w:pStyle w:val="ae"/>
        <w:spacing w:before="60" w:after="60"/>
        <w:ind w:left="709"/>
        <w:rPr>
          <w:color w:val="000000"/>
          <w:szCs w:val="24"/>
        </w:rPr>
      </w:pPr>
      <w:r w:rsidRPr="000E044A">
        <w:rPr>
          <w:color w:val="000000"/>
          <w:szCs w:val="24"/>
        </w:rPr>
        <w:t>Контроль при заполнении формы в электронном виде:</w:t>
      </w:r>
    </w:p>
    <w:p w:rsidR="00DA7BCD" w:rsidRPr="000E044A" w:rsidRDefault="00952DE1" w:rsidP="00DA7BCD">
      <w:pPr>
        <w:ind w:firstLine="709"/>
        <w:jc w:val="both"/>
        <w:rPr>
          <w:color w:val="000000"/>
        </w:rPr>
      </w:pPr>
      <w:r>
        <w:rPr>
          <w:color w:val="000000"/>
        </w:rPr>
        <w:t>- если в графе 2 «К</w:t>
      </w:r>
      <w:r w:rsidR="00DA7BCD" w:rsidRPr="000E044A">
        <w:rPr>
          <w:color w:val="000000"/>
        </w:rPr>
        <w:t>оличество…» по какой-либо позиции значение не равн</w:t>
      </w:r>
      <w:r>
        <w:rPr>
          <w:color w:val="000000"/>
        </w:rPr>
        <w:t>о нулю, то значение в графе 1 «Ц</w:t>
      </w:r>
      <w:r w:rsidR="00DA7BCD" w:rsidRPr="000E044A">
        <w:rPr>
          <w:color w:val="000000"/>
        </w:rPr>
        <w:t>ена…» тоже не должно быть равным нулю, в противном случае данные о количестве следует удалить;</w:t>
      </w:r>
    </w:p>
    <w:p w:rsidR="00DA7BCD" w:rsidRPr="000E044A" w:rsidRDefault="00DA7BCD" w:rsidP="00DA7BCD">
      <w:pPr>
        <w:ind w:firstLine="709"/>
        <w:jc w:val="both"/>
        <w:rPr>
          <w:color w:val="000000"/>
        </w:rPr>
      </w:pPr>
      <w:r w:rsidRPr="000E044A">
        <w:rPr>
          <w:color w:val="000000"/>
        </w:rPr>
        <w:t>- данные в графах 1 и 2 по всем строкам вносятся с двумя десятичными знаками после запятой;</w:t>
      </w:r>
    </w:p>
    <w:p w:rsidR="00DA7BCD" w:rsidRPr="000E044A" w:rsidRDefault="00DA7BCD" w:rsidP="00DA7BCD">
      <w:pPr>
        <w:pStyle w:val="12"/>
        <w:spacing w:line="240" w:lineRule="auto"/>
        <w:rPr>
          <w:rFonts w:ascii="Times New Roman" w:hAnsi="Times New Roman"/>
          <w:color w:val="000000"/>
        </w:rPr>
      </w:pPr>
      <w:r w:rsidRPr="000E044A">
        <w:rPr>
          <w:rFonts w:ascii="Times New Roman" w:hAnsi="Times New Roman"/>
          <w:color w:val="000000"/>
        </w:rPr>
        <w:t xml:space="preserve">- единица измерения отдельного вида товара должна совпадать с единицей измерения товара-представителя в федеральном справочнике товаров-представителей. </w:t>
      </w:r>
    </w:p>
    <w:p w:rsidR="00DA7BCD" w:rsidRPr="000E044A" w:rsidRDefault="00DA7BCD" w:rsidP="00DA7BCD">
      <w:pPr>
        <w:spacing w:line="240" w:lineRule="exact"/>
        <w:ind w:left="709"/>
        <w:rPr>
          <w:color w:val="000000"/>
          <w:szCs w:val="24"/>
        </w:rPr>
      </w:pPr>
    </w:p>
    <w:p w:rsidR="00DA7BCD" w:rsidRPr="00360222" w:rsidRDefault="00DA7BCD" w:rsidP="00360222">
      <w:pPr>
        <w:pStyle w:val="12"/>
        <w:spacing w:line="240" w:lineRule="auto"/>
        <w:ind w:firstLine="0"/>
        <w:rPr>
          <w:rFonts w:ascii="Times New Roman" w:hAnsi="Times New Roman"/>
          <w:lang w:val="en-US"/>
        </w:rPr>
      </w:pPr>
    </w:p>
    <w:sectPr w:rsidR="00DA7BCD" w:rsidRPr="00360222" w:rsidSect="00DA7BCD">
      <w:headerReference w:type="even" r:id="rId10"/>
      <w:headerReference w:type="default" r:id="rId11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47" w:rsidRDefault="00834C47">
      <w:r>
        <w:separator/>
      </w:r>
    </w:p>
  </w:endnote>
  <w:endnote w:type="continuationSeparator" w:id="0">
    <w:p w:rsidR="00834C47" w:rsidRDefault="0083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47" w:rsidRDefault="00834C47">
      <w:r>
        <w:separator/>
      </w:r>
    </w:p>
  </w:footnote>
  <w:footnote w:type="continuationSeparator" w:id="0">
    <w:p w:rsidR="00834C47" w:rsidRDefault="00834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DBE" w:rsidRDefault="00AD3D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3DBE" w:rsidRDefault="00AD3DBE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DBE" w:rsidRDefault="00AD3D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18B7">
      <w:rPr>
        <w:rStyle w:val="aa"/>
        <w:noProof/>
      </w:rPr>
      <w:t>5</w:t>
    </w:r>
    <w:r>
      <w:rPr>
        <w:rStyle w:val="aa"/>
      </w:rPr>
      <w:fldChar w:fldCharType="end"/>
    </w:r>
  </w:p>
  <w:p w:rsidR="00AD3DBE" w:rsidRPr="00496EA6" w:rsidRDefault="00AD3DBE">
    <w:pPr>
      <w:pStyle w:val="a8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6E5FD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1A351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E667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C650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E8665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4A71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9204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3E91E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02D3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ACCB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A1F39"/>
    <w:multiLevelType w:val="multilevel"/>
    <w:tmpl w:val="14D0C92A"/>
    <w:lvl w:ilvl="0">
      <w:numFmt w:val="bullet"/>
      <w:pStyle w:val="a1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5C32AD3"/>
    <w:multiLevelType w:val="singleLevel"/>
    <w:tmpl w:val="2398C430"/>
    <w:lvl w:ilvl="0">
      <w:start w:val="9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084C6A83"/>
    <w:multiLevelType w:val="singleLevel"/>
    <w:tmpl w:val="BE86BF2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0A174A2C"/>
    <w:multiLevelType w:val="singleLevel"/>
    <w:tmpl w:val="70B695FE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13EB5A64"/>
    <w:multiLevelType w:val="singleLevel"/>
    <w:tmpl w:val="E0B06F9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BDE473A"/>
    <w:multiLevelType w:val="singleLevel"/>
    <w:tmpl w:val="652A908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26763D31"/>
    <w:multiLevelType w:val="singleLevel"/>
    <w:tmpl w:val="A190839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494065CA"/>
    <w:multiLevelType w:val="multilevel"/>
    <w:tmpl w:val="3C4EE19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F44C01"/>
    <w:multiLevelType w:val="singleLevel"/>
    <w:tmpl w:val="0EDC65A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55BA00D2"/>
    <w:multiLevelType w:val="multilevel"/>
    <w:tmpl w:val="AABA3B34"/>
    <w:lvl w:ilvl="0">
      <w:start w:val="1"/>
      <w:numFmt w:val="decimal"/>
      <w:pStyle w:val="a2"/>
      <w:lvlText w:val="%1."/>
      <w:lvlJc w:val="left"/>
      <w:pPr>
        <w:tabs>
          <w:tab w:val="num" w:pos="1571"/>
        </w:tabs>
        <w:ind w:left="1571" w:hanging="360"/>
      </w:pPr>
    </w:lvl>
    <w:lvl w:ilvl="1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hint="default"/>
      </w:rPr>
    </w:lvl>
    <w:lvl w:ilvl="1">
      <w:start w:val="1"/>
      <w:numFmt w:val="decimal"/>
      <w:pStyle w:val="a3"/>
      <w:lvlText w:val="%1.%2."/>
      <w:lvlJc w:val="left"/>
      <w:pPr>
        <w:tabs>
          <w:tab w:val="num" w:pos="774"/>
        </w:tabs>
        <w:ind w:left="0" w:firstLine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1">
    <w:nsid w:val="5CB7199D"/>
    <w:multiLevelType w:val="singleLevel"/>
    <w:tmpl w:val="AA0E57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628F607A"/>
    <w:multiLevelType w:val="singleLevel"/>
    <w:tmpl w:val="DB4A5862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65A6649A"/>
    <w:multiLevelType w:val="singleLevel"/>
    <w:tmpl w:val="68B0B71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>
    <w:nsid w:val="726F6164"/>
    <w:multiLevelType w:val="singleLevel"/>
    <w:tmpl w:val="F3105C76"/>
    <w:lvl w:ilvl="0">
      <w:start w:val="1"/>
      <w:numFmt w:val="decimal"/>
      <w:lvlText w:val="%1. "/>
      <w:legacy w:legacy="1" w:legacySpace="0" w:legacyIndent="360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>
    <w:nsid w:val="736A7DF0"/>
    <w:multiLevelType w:val="singleLevel"/>
    <w:tmpl w:val="75FCBB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6">
    <w:nsid w:val="78FC2457"/>
    <w:multiLevelType w:val="singleLevel"/>
    <w:tmpl w:val="A27AA35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7DD77F81"/>
    <w:multiLevelType w:val="hybridMultilevel"/>
    <w:tmpl w:val="7AB27846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>
    <w:nsid w:val="7E0D1902"/>
    <w:multiLevelType w:val="singleLevel"/>
    <w:tmpl w:val="0C08141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22"/>
  </w:num>
  <w:num w:numId="14">
    <w:abstractNumId w:val="24"/>
  </w:num>
  <w:num w:numId="15">
    <w:abstractNumId w:val="11"/>
  </w:num>
  <w:num w:numId="16">
    <w:abstractNumId w:val="21"/>
  </w:num>
  <w:num w:numId="17">
    <w:abstractNumId w:val="26"/>
  </w:num>
  <w:num w:numId="18">
    <w:abstractNumId w:val="28"/>
  </w:num>
  <w:num w:numId="19">
    <w:abstractNumId w:val="13"/>
  </w:num>
  <w:num w:numId="20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1">
    <w:abstractNumId w:val="15"/>
  </w:num>
  <w:num w:numId="22">
    <w:abstractNumId w:val="18"/>
  </w:num>
  <w:num w:numId="23">
    <w:abstractNumId w:val="23"/>
  </w:num>
  <w:num w:numId="24">
    <w:abstractNumId w:val="25"/>
  </w:num>
  <w:num w:numId="25">
    <w:abstractNumId w:val="20"/>
  </w:num>
  <w:num w:numId="26">
    <w:abstractNumId w:val="9"/>
    <w:lvlOverride w:ilvl="0"/>
  </w:num>
  <w:num w:numId="27">
    <w:abstractNumId w:val="8"/>
    <w:lvlOverride w:ilvl="0">
      <w:startOverride w:val="1"/>
    </w:lvlOverride>
  </w:num>
  <w:num w:numId="28">
    <w:abstractNumId w:val="7"/>
    <w:lvlOverride w:ilvl="0"/>
  </w:num>
  <w:num w:numId="29">
    <w:abstractNumId w:val="6"/>
    <w:lvlOverride w:ilvl="0"/>
  </w:num>
  <w:num w:numId="30">
    <w:abstractNumId w:val="5"/>
    <w:lvlOverride w:ilvl="0"/>
  </w:num>
  <w:num w:numId="31">
    <w:abstractNumId w:val="4"/>
    <w:lvlOverride w:ilvl="0"/>
  </w:num>
  <w:num w:numId="32">
    <w:abstractNumId w:val="3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27"/>
  </w:num>
  <w:num w:numId="37">
    <w:abstractNumId w:val="10"/>
  </w:num>
  <w:num w:numId="38">
    <w:abstractNumId w:val="19"/>
  </w:num>
  <w:num w:numId="39">
    <w:abstractNumId w:val="14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F9A"/>
    <w:rsid w:val="000403CB"/>
    <w:rsid w:val="00051C22"/>
    <w:rsid w:val="0005265F"/>
    <w:rsid w:val="0005526F"/>
    <w:rsid w:val="000649C9"/>
    <w:rsid w:val="00073578"/>
    <w:rsid w:val="0008106C"/>
    <w:rsid w:val="00081EA7"/>
    <w:rsid w:val="000A33D8"/>
    <w:rsid w:val="000E044A"/>
    <w:rsid w:val="000F2FB0"/>
    <w:rsid w:val="00102396"/>
    <w:rsid w:val="00102F4F"/>
    <w:rsid w:val="0013195A"/>
    <w:rsid w:val="00157595"/>
    <w:rsid w:val="00165CF9"/>
    <w:rsid w:val="00170816"/>
    <w:rsid w:val="0017653B"/>
    <w:rsid w:val="0018225D"/>
    <w:rsid w:val="00196F2E"/>
    <w:rsid w:val="001A2F9F"/>
    <w:rsid w:val="001B535C"/>
    <w:rsid w:val="001C1398"/>
    <w:rsid w:val="001C63E0"/>
    <w:rsid w:val="001E73FE"/>
    <w:rsid w:val="002165EE"/>
    <w:rsid w:val="00244F20"/>
    <w:rsid w:val="0025051C"/>
    <w:rsid w:val="002530E6"/>
    <w:rsid w:val="00253D61"/>
    <w:rsid w:val="00254482"/>
    <w:rsid w:val="002640A4"/>
    <w:rsid w:val="002666F0"/>
    <w:rsid w:val="002837D8"/>
    <w:rsid w:val="0028663C"/>
    <w:rsid w:val="00290C2A"/>
    <w:rsid w:val="00290F9A"/>
    <w:rsid w:val="0029139E"/>
    <w:rsid w:val="00293BC8"/>
    <w:rsid w:val="002A232F"/>
    <w:rsid w:val="002B2809"/>
    <w:rsid w:val="002C25E6"/>
    <w:rsid w:val="002C5071"/>
    <w:rsid w:val="002E0646"/>
    <w:rsid w:val="003015F5"/>
    <w:rsid w:val="0030496F"/>
    <w:rsid w:val="00314E59"/>
    <w:rsid w:val="00320C73"/>
    <w:rsid w:val="00360222"/>
    <w:rsid w:val="00362DFB"/>
    <w:rsid w:val="003669F3"/>
    <w:rsid w:val="00367CEC"/>
    <w:rsid w:val="00382D01"/>
    <w:rsid w:val="0039204F"/>
    <w:rsid w:val="00394AD7"/>
    <w:rsid w:val="003B1239"/>
    <w:rsid w:val="003C7E7E"/>
    <w:rsid w:val="003D76F9"/>
    <w:rsid w:val="003E0852"/>
    <w:rsid w:val="003F0C9F"/>
    <w:rsid w:val="003F63E5"/>
    <w:rsid w:val="004130E2"/>
    <w:rsid w:val="0041438F"/>
    <w:rsid w:val="00417BFA"/>
    <w:rsid w:val="004336EF"/>
    <w:rsid w:val="00440470"/>
    <w:rsid w:val="0045018B"/>
    <w:rsid w:val="00496EA6"/>
    <w:rsid w:val="004A4127"/>
    <w:rsid w:val="004B722E"/>
    <w:rsid w:val="004C5068"/>
    <w:rsid w:val="004D434C"/>
    <w:rsid w:val="004F4E4E"/>
    <w:rsid w:val="005027F2"/>
    <w:rsid w:val="00513B62"/>
    <w:rsid w:val="005238C8"/>
    <w:rsid w:val="005252A0"/>
    <w:rsid w:val="0054053A"/>
    <w:rsid w:val="00555CCA"/>
    <w:rsid w:val="00566B08"/>
    <w:rsid w:val="00566C05"/>
    <w:rsid w:val="00571503"/>
    <w:rsid w:val="005835C1"/>
    <w:rsid w:val="005864EE"/>
    <w:rsid w:val="005B4223"/>
    <w:rsid w:val="005B42CD"/>
    <w:rsid w:val="005C5FB9"/>
    <w:rsid w:val="005D1EB2"/>
    <w:rsid w:val="005D53EB"/>
    <w:rsid w:val="005F2289"/>
    <w:rsid w:val="00603C35"/>
    <w:rsid w:val="0060407D"/>
    <w:rsid w:val="006108A0"/>
    <w:rsid w:val="00612FA5"/>
    <w:rsid w:val="00613775"/>
    <w:rsid w:val="00616FEE"/>
    <w:rsid w:val="006814AF"/>
    <w:rsid w:val="00692E7A"/>
    <w:rsid w:val="00697101"/>
    <w:rsid w:val="006A57BC"/>
    <w:rsid w:val="006A7845"/>
    <w:rsid w:val="006D216B"/>
    <w:rsid w:val="006F7437"/>
    <w:rsid w:val="00711DBC"/>
    <w:rsid w:val="00721B5A"/>
    <w:rsid w:val="00732C8B"/>
    <w:rsid w:val="007363B1"/>
    <w:rsid w:val="0075017D"/>
    <w:rsid w:val="007533FE"/>
    <w:rsid w:val="007A13FE"/>
    <w:rsid w:val="007A63D3"/>
    <w:rsid w:val="007B4B1B"/>
    <w:rsid w:val="007C2891"/>
    <w:rsid w:val="007D57FC"/>
    <w:rsid w:val="007E5A86"/>
    <w:rsid w:val="00806D77"/>
    <w:rsid w:val="008161E0"/>
    <w:rsid w:val="00827B67"/>
    <w:rsid w:val="00834C47"/>
    <w:rsid w:val="00844455"/>
    <w:rsid w:val="00864E47"/>
    <w:rsid w:val="00891D7A"/>
    <w:rsid w:val="008932C7"/>
    <w:rsid w:val="008A6122"/>
    <w:rsid w:val="008A70F9"/>
    <w:rsid w:val="008B2128"/>
    <w:rsid w:val="008E32CA"/>
    <w:rsid w:val="008E7376"/>
    <w:rsid w:val="008E7C72"/>
    <w:rsid w:val="009108A3"/>
    <w:rsid w:val="0092610B"/>
    <w:rsid w:val="009341A3"/>
    <w:rsid w:val="0094056C"/>
    <w:rsid w:val="009478D4"/>
    <w:rsid w:val="00952DE1"/>
    <w:rsid w:val="009C19A2"/>
    <w:rsid w:val="009C7745"/>
    <w:rsid w:val="009E1FCF"/>
    <w:rsid w:val="009F0508"/>
    <w:rsid w:val="009F2DAE"/>
    <w:rsid w:val="00A4635A"/>
    <w:rsid w:val="00A473DB"/>
    <w:rsid w:val="00A47C6D"/>
    <w:rsid w:val="00A83E48"/>
    <w:rsid w:val="00AC528D"/>
    <w:rsid w:val="00AD385A"/>
    <w:rsid w:val="00AD3DBE"/>
    <w:rsid w:val="00AD5F5D"/>
    <w:rsid w:val="00B018B7"/>
    <w:rsid w:val="00B30EBF"/>
    <w:rsid w:val="00B62E34"/>
    <w:rsid w:val="00B81629"/>
    <w:rsid w:val="00BA0163"/>
    <w:rsid w:val="00BC5B19"/>
    <w:rsid w:val="00BE24F1"/>
    <w:rsid w:val="00BE5A22"/>
    <w:rsid w:val="00BF0E29"/>
    <w:rsid w:val="00C07A07"/>
    <w:rsid w:val="00C45813"/>
    <w:rsid w:val="00C84437"/>
    <w:rsid w:val="00C9294A"/>
    <w:rsid w:val="00C9368E"/>
    <w:rsid w:val="00C97A68"/>
    <w:rsid w:val="00D04AEB"/>
    <w:rsid w:val="00D14A2A"/>
    <w:rsid w:val="00D21284"/>
    <w:rsid w:val="00D6231D"/>
    <w:rsid w:val="00D71938"/>
    <w:rsid w:val="00D7387C"/>
    <w:rsid w:val="00D7760F"/>
    <w:rsid w:val="00D93ACC"/>
    <w:rsid w:val="00DA7BCD"/>
    <w:rsid w:val="00DE2630"/>
    <w:rsid w:val="00E03FB1"/>
    <w:rsid w:val="00E125EB"/>
    <w:rsid w:val="00E14D5A"/>
    <w:rsid w:val="00E17463"/>
    <w:rsid w:val="00E36E1A"/>
    <w:rsid w:val="00E526EB"/>
    <w:rsid w:val="00E55565"/>
    <w:rsid w:val="00E6687C"/>
    <w:rsid w:val="00E8390C"/>
    <w:rsid w:val="00E866A8"/>
    <w:rsid w:val="00E90382"/>
    <w:rsid w:val="00EA1D97"/>
    <w:rsid w:val="00EB64DD"/>
    <w:rsid w:val="00EC5AD4"/>
    <w:rsid w:val="00ED5C51"/>
    <w:rsid w:val="00ED70FC"/>
    <w:rsid w:val="00EF0ABF"/>
    <w:rsid w:val="00F6097C"/>
    <w:rsid w:val="00F6693F"/>
    <w:rsid w:val="00F90B98"/>
    <w:rsid w:val="00FA14F3"/>
    <w:rsid w:val="00FA1F2C"/>
    <w:rsid w:val="00FA347E"/>
    <w:rsid w:val="00FC5F5A"/>
    <w:rsid w:val="00FC6267"/>
    <w:rsid w:val="00F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tex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Pr>
      <w:sz w:val="24"/>
    </w:rPr>
  </w:style>
  <w:style w:type="paragraph" w:styleId="1">
    <w:name w:val="heading 1"/>
    <w:basedOn w:val="a4"/>
    <w:next w:val="a4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4"/>
    <w:next w:val="a4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4"/>
    <w:next w:val="a4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4"/>
    <w:next w:val="a4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4"/>
    <w:next w:val="a4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4"/>
    <w:next w:val="a4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4"/>
    <w:next w:val="a4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4"/>
    <w:next w:val="a4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4"/>
    <w:next w:val="a4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5">
    <w:name w:val="Default Paragraph Font"/>
    <w:semiHidden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-1">
    <w:name w:val="абзац-1"/>
    <w:basedOn w:val="a4"/>
    <w:pPr>
      <w:spacing w:line="360" w:lineRule="auto"/>
      <w:ind w:firstLine="709"/>
    </w:pPr>
  </w:style>
  <w:style w:type="paragraph" w:styleId="a8">
    <w:name w:val="header"/>
    <w:basedOn w:val="a4"/>
    <w:link w:val="a9"/>
    <w:semiHidden/>
    <w:pPr>
      <w:tabs>
        <w:tab w:val="center" w:pos="4536"/>
        <w:tab w:val="right" w:pos="9072"/>
      </w:tabs>
    </w:pPr>
  </w:style>
  <w:style w:type="character" w:styleId="aa">
    <w:name w:val="page number"/>
    <w:basedOn w:val="a5"/>
    <w:semiHidden/>
  </w:style>
  <w:style w:type="paragraph" w:styleId="ab">
    <w:name w:val="envelope address"/>
    <w:basedOn w:val="a4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c">
    <w:name w:val="Emphasis"/>
    <w:qFormat/>
    <w:rPr>
      <w:i/>
    </w:rPr>
  </w:style>
  <w:style w:type="character" w:styleId="ad">
    <w:name w:val="Hyperlink"/>
    <w:semiHidden/>
    <w:rPr>
      <w:color w:val="0000FF"/>
      <w:u w:val="single"/>
    </w:rPr>
  </w:style>
  <w:style w:type="paragraph" w:styleId="ae">
    <w:name w:val="Date"/>
    <w:basedOn w:val="a4"/>
    <w:next w:val="a4"/>
    <w:link w:val="af"/>
    <w:semiHidden/>
  </w:style>
  <w:style w:type="paragraph" w:styleId="af0">
    <w:name w:val="Note Heading"/>
    <w:basedOn w:val="a4"/>
    <w:next w:val="a4"/>
    <w:semiHidden/>
  </w:style>
  <w:style w:type="paragraph" w:styleId="af1">
    <w:name w:val="toa heading"/>
    <w:basedOn w:val="a4"/>
    <w:next w:val="a4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vertAlign w:val="superscript"/>
    </w:rPr>
  </w:style>
  <w:style w:type="character" w:styleId="af3">
    <w:name w:val="annotation reference"/>
    <w:semiHidden/>
    <w:rPr>
      <w:sz w:val="16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Body Text"/>
    <w:aliases w:val="Знак1,Заг1"/>
    <w:basedOn w:val="a4"/>
    <w:link w:val="af6"/>
    <w:pPr>
      <w:spacing w:after="120"/>
    </w:pPr>
  </w:style>
  <w:style w:type="paragraph" w:styleId="af7">
    <w:name w:val="Body Text First Indent"/>
    <w:basedOn w:val="af5"/>
    <w:semiHidden/>
    <w:pPr>
      <w:ind w:firstLine="210"/>
    </w:pPr>
  </w:style>
  <w:style w:type="paragraph" w:styleId="af8">
    <w:name w:val="Body Text Indent"/>
    <w:basedOn w:val="a4"/>
    <w:semiHidden/>
    <w:pPr>
      <w:spacing w:after="120"/>
      <w:ind w:left="283"/>
    </w:pPr>
  </w:style>
  <w:style w:type="paragraph" w:styleId="22">
    <w:name w:val="Body Text First Indent 2"/>
    <w:basedOn w:val="af8"/>
    <w:semiHidden/>
    <w:pPr>
      <w:ind w:firstLine="210"/>
    </w:pPr>
  </w:style>
  <w:style w:type="paragraph" w:styleId="a0">
    <w:name w:val="List Bullet"/>
    <w:basedOn w:val="a4"/>
    <w:autoRedefine/>
    <w:semiHidden/>
    <w:pPr>
      <w:numPr>
        <w:numId w:val="1"/>
      </w:numPr>
    </w:pPr>
  </w:style>
  <w:style w:type="paragraph" w:styleId="20">
    <w:name w:val="List Bullet 2"/>
    <w:basedOn w:val="a4"/>
    <w:autoRedefine/>
    <w:semiHidden/>
    <w:pPr>
      <w:numPr>
        <w:numId w:val="2"/>
      </w:numPr>
    </w:pPr>
  </w:style>
  <w:style w:type="paragraph" w:styleId="30">
    <w:name w:val="List Bullet 3"/>
    <w:basedOn w:val="a4"/>
    <w:autoRedefine/>
    <w:semiHidden/>
    <w:pPr>
      <w:numPr>
        <w:numId w:val="3"/>
      </w:numPr>
    </w:pPr>
  </w:style>
  <w:style w:type="paragraph" w:styleId="40">
    <w:name w:val="List Bullet 4"/>
    <w:basedOn w:val="a4"/>
    <w:autoRedefine/>
    <w:semiHidden/>
    <w:pPr>
      <w:numPr>
        <w:numId w:val="4"/>
      </w:numPr>
    </w:pPr>
  </w:style>
  <w:style w:type="paragraph" w:styleId="50">
    <w:name w:val="List Bullet 5"/>
    <w:basedOn w:val="a4"/>
    <w:autoRedefine/>
    <w:semiHidden/>
    <w:pPr>
      <w:numPr>
        <w:numId w:val="5"/>
      </w:numPr>
    </w:pPr>
  </w:style>
  <w:style w:type="paragraph" w:styleId="af9">
    <w:name w:val="Title"/>
    <w:basedOn w:val="a4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a">
    <w:name w:val="caption"/>
    <w:basedOn w:val="a4"/>
    <w:next w:val="a4"/>
    <w:qFormat/>
    <w:pPr>
      <w:spacing w:before="120" w:after="120"/>
    </w:pPr>
    <w:rPr>
      <w:b/>
    </w:rPr>
  </w:style>
  <w:style w:type="paragraph" w:styleId="afb">
    <w:name w:val="footer"/>
    <w:basedOn w:val="a4"/>
    <w:semiHidden/>
    <w:pPr>
      <w:tabs>
        <w:tab w:val="center" w:pos="4153"/>
        <w:tab w:val="right" w:pos="8306"/>
      </w:tabs>
    </w:pPr>
  </w:style>
  <w:style w:type="character" w:styleId="afc">
    <w:name w:val="line number"/>
    <w:basedOn w:val="a5"/>
    <w:semiHidden/>
  </w:style>
  <w:style w:type="paragraph" w:styleId="a">
    <w:name w:val="List Number"/>
    <w:basedOn w:val="a4"/>
    <w:semiHidden/>
    <w:pPr>
      <w:numPr>
        <w:numId w:val="6"/>
      </w:numPr>
    </w:pPr>
  </w:style>
  <w:style w:type="paragraph" w:styleId="2">
    <w:name w:val="List Number 2"/>
    <w:basedOn w:val="a4"/>
    <w:pPr>
      <w:numPr>
        <w:numId w:val="7"/>
      </w:numPr>
    </w:pPr>
  </w:style>
  <w:style w:type="paragraph" w:styleId="3">
    <w:name w:val="List Number 3"/>
    <w:basedOn w:val="a4"/>
    <w:semiHidden/>
    <w:pPr>
      <w:numPr>
        <w:numId w:val="8"/>
      </w:numPr>
    </w:pPr>
  </w:style>
  <w:style w:type="paragraph" w:styleId="4">
    <w:name w:val="List Number 4"/>
    <w:basedOn w:val="a4"/>
    <w:semiHidden/>
    <w:pPr>
      <w:numPr>
        <w:numId w:val="9"/>
      </w:numPr>
    </w:pPr>
  </w:style>
  <w:style w:type="paragraph" w:styleId="5">
    <w:name w:val="List Number 5"/>
    <w:basedOn w:val="a4"/>
    <w:semiHidden/>
    <w:pPr>
      <w:numPr>
        <w:numId w:val="10"/>
      </w:numPr>
    </w:pPr>
  </w:style>
  <w:style w:type="paragraph" w:styleId="23">
    <w:name w:val="envelope return"/>
    <w:basedOn w:val="a4"/>
    <w:semiHidden/>
    <w:rPr>
      <w:rFonts w:ascii="Arial" w:hAnsi="Arial"/>
      <w:sz w:val="20"/>
    </w:rPr>
  </w:style>
  <w:style w:type="paragraph" w:styleId="afd">
    <w:name w:val="Normal Indent"/>
    <w:basedOn w:val="a4"/>
    <w:semiHidden/>
    <w:pPr>
      <w:ind w:left="720"/>
    </w:pPr>
  </w:style>
  <w:style w:type="paragraph" w:styleId="10">
    <w:name w:val="toc 1"/>
    <w:basedOn w:val="a4"/>
    <w:next w:val="a4"/>
    <w:autoRedefine/>
    <w:semiHidden/>
  </w:style>
  <w:style w:type="paragraph" w:styleId="24">
    <w:name w:val="toc 2"/>
    <w:basedOn w:val="a4"/>
    <w:next w:val="a4"/>
    <w:autoRedefine/>
    <w:semiHidden/>
    <w:pPr>
      <w:ind w:left="240"/>
    </w:pPr>
  </w:style>
  <w:style w:type="paragraph" w:styleId="32">
    <w:name w:val="toc 3"/>
    <w:basedOn w:val="a4"/>
    <w:next w:val="a4"/>
    <w:autoRedefine/>
    <w:semiHidden/>
    <w:pPr>
      <w:ind w:left="480"/>
    </w:pPr>
  </w:style>
  <w:style w:type="paragraph" w:styleId="42">
    <w:name w:val="toc 4"/>
    <w:basedOn w:val="a4"/>
    <w:next w:val="a4"/>
    <w:autoRedefine/>
    <w:semiHidden/>
    <w:pPr>
      <w:ind w:left="720"/>
    </w:pPr>
  </w:style>
  <w:style w:type="paragraph" w:styleId="52">
    <w:name w:val="toc 5"/>
    <w:basedOn w:val="a4"/>
    <w:next w:val="a4"/>
    <w:autoRedefine/>
    <w:semiHidden/>
    <w:pPr>
      <w:ind w:left="960"/>
    </w:pPr>
  </w:style>
  <w:style w:type="paragraph" w:styleId="60">
    <w:name w:val="toc 6"/>
    <w:basedOn w:val="a4"/>
    <w:next w:val="a4"/>
    <w:autoRedefine/>
    <w:semiHidden/>
    <w:pPr>
      <w:ind w:left="1200"/>
    </w:pPr>
  </w:style>
  <w:style w:type="paragraph" w:styleId="70">
    <w:name w:val="toc 7"/>
    <w:basedOn w:val="a4"/>
    <w:next w:val="a4"/>
    <w:autoRedefine/>
    <w:semiHidden/>
    <w:pPr>
      <w:ind w:left="1440"/>
    </w:pPr>
  </w:style>
  <w:style w:type="paragraph" w:styleId="80">
    <w:name w:val="toc 8"/>
    <w:basedOn w:val="a4"/>
    <w:next w:val="a4"/>
    <w:autoRedefine/>
    <w:semiHidden/>
    <w:pPr>
      <w:ind w:left="1680"/>
    </w:pPr>
  </w:style>
  <w:style w:type="paragraph" w:styleId="90">
    <w:name w:val="toc 9"/>
    <w:basedOn w:val="a4"/>
    <w:next w:val="a4"/>
    <w:autoRedefine/>
    <w:semiHidden/>
    <w:pPr>
      <w:ind w:left="1920"/>
    </w:pPr>
  </w:style>
  <w:style w:type="paragraph" w:styleId="25">
    <w:name w:val="Body Text 2"/>
    <w:basedOn w:val="a4"/>
    <w:semiHidden/>
    <w:pPr>
      <w:spacing w:after="120" w:line="480" w:lineRule="auto"/>
    </w:pPr>
  </w:style>
  <w:style w:type="paragraph" w:styleId="33">
    <w:name w:val="Body Text 3"/>
    <w:basedOn w:val="a4"/>
    <w:semiHidden/>
    <w:pPr>
      <w:spacing w:after="120"/>
    </w:pPr>
    <w:rPr>
      <w:sz w:val="16"/>
    </w:rPr>
  </w:style>
  <w:style w:type="paragraph" w:styleId="26">
    <w:name w:val="Body Text Indent 2"/>
    <w:basedOn w:val="a4"/>
    <w:semiHidden/>
    <w:pPr>
      <w:spacing w:after="120" w:line="480" w:lineRule="auto"/>
      <w:ind w:left="283"/>
    </w:pPr>
  </w:style>
  <w:style w:type="paragraph" w:styleId="34">
    <w:name w:val="Body Text Indent 3"/>
    <w:basedOn w:val="a4"/>
    <w:link w:val="35"/>
    <w:semiHidden/>
    <w:pPr>
      <w:spacing w:after="120"/>
      <w:ind w:left="283"/>
    </w:pPr>
    <w:rPr>
      <w:sz w:val="16"/>
    </w:rPr>
  </w:style>
  <w:style w:type="paragraph" w:styleId="afe">
    <w:name w:val="table of figures"/>
    <w:basedOn w:val="a4"/>
    <w:next w:val="a4"/>
    <w:semiHidden/>
    <w:pPr>
      <w:ind w:left="480" w:hanging="480"/>
    </w:pPr>
  </w:style>
  <w:style w:type="paragraph" w:styleId="aff">
    <w:name w:val="Subtitle"/>
    <w:basedOn w:val="a4"/>
    <w:qFormat/>
    <w:pPr>
      <w:spacing w:after="60"/>
      <w:jc w:val="center"/>
      <w:outlineLvl w:val="1"/>
    </w:pPr>
    <w:rPr>
      <w:rFonts w:ascii="Arial" w:hAnsi="Arial"/>
    </w:rPr>
  </w:style>
  <w:style w:type="paragraph" w:styleId="aff0">
    <w:name w:val="Signature"/>
    <w:basedOn w:val="a4"/>
    <w:semiHidden/>
    <w:pPr>
      <w:ind w:left="4252"/>
    </w:pPr>
  </w:style>
  <w:style w:type="paragraph" w:styleId="aff1">
    <w:name w:val="Salutation"/>
    <w:basedOn w:val="a4"/>
    <w:next w:val="a4"/>
    <w:semiHidden/>
  </w:style>
  <w:style w:type="paragraph" w:styleId="aff2">
    <w:name w:val="List Continue"/>
    <w:basedOn w:val="a4"/>
    <w:semiHidden/>
    <w:pPr>
      <w:spacing w:after="120"/>
      <w:ind w:left="283"/>
    </w:pPr>
  </w:style>
  <w:style w:type="paragraph" w:styleId="27">
    <w:name w:val="List Continue 2"/>
    <w:basedOn w:val="a4"/>
    <w:semiHidden/>
    <w:pPr>
      <w:spacing w:after="120"/>
      <w:ind w:left="566"/>
    </w:pPr>
  </w:style>
  <w:style w:type="paragraph" w:styleId="36">
    <w:name w:val="List Continue 3"/>
    <w:basedOn w:val="a4"/>
    <w:semiHidden/>
    <w:pPr>
      <w:spacing w:after="120"/>
      <w:ind w:left="849"/>
    </w:pPr>
  </w:style>
  <w:style w:type="paragraph" w:styleId="43">
    <w:name w:val="List Continue 4"/>
    <w:basedOn w:val="a4"/>
    <w:semiHidden/>
    <w:pPr>
      <w:spacing w:after="120"/>
      <w:ind w:left="1132"/>
    </w:pPr>
  </w:style>
  <w:style w:type="paragraph" w:styleId="53">
    <w:name w:val="List Continue 5"/>
    <w:basedOn w:val="a4"/>
    <w:semiHidden/>
    <w:pPr>
      <w:spacing w:after="120"/>
      <w:ind w:left="1415"/>
    </w:pPr>
  </w:style>
  <w:style w:type="character" w:styleId="aff3">
    <w:name w:val="FollowedHyperlink"/>
    <w:semiHidden/>
    <w:rPr>
      <w:color w:val="800080"/>
      <w:u w:val="single"/>
    </w:rPr>
  </w:style>
  <w:style w:type="paragraph" w:styleId="aff4">
    <w:name w:val="Closing"/>
    <w:basedOn w:val="a4"/>
    <w:semiHidden/>
    <w:pPr>
      <w:ind w:left="4252"/>
    </w:pPr>
  </w:style>
  <w:style w:type="paragraph" w:styleId="aff5">
    <w:name w:val="List"/>
    <w:basedOn w:val="a4"/>
    <w:semiHidden/>
    <w:pPr>
      <w:ind w:left="283" w:hanging="283"/>
    </w:pPr>
  </w:style>
  <w:style w:type="paragraph" w:styleId="28">
    <w:name w:val="List 2"/>
    <w:basedOn w:val="a4"/>
    <w:semiHidden/>
    <w:pPr>
      <w:ind w:left="566" w:hanging="283"/>
    </w:pPr>
  </w:style>
  <w:style w:type="paragraph" w:styleId="37">
    <w:name w:val="List 3"/>
    <w:basedOn w:val="a4"/>
    <w:semiHidden/>
    <w:pPr>
      <w:ind w:left="849" w:hanging="283"/>
    </w:pPr>
  </w:style>
  <w:style w:type="paragraph" w:styleId="44">
    <w:name w:val="List 4"/>
    <w:basedOn w:val="a4"/>
    <w:semiHidden/>
    <w:pPr>
      <w:ind w:left="1132" w:hanging="283"/>
    </w:pPr>
  </w:style>
  <w:style w:type="paragraph" w:styleId="54">
    <w:name w:val="List 5"/>
    <w:basedOn w:val="a4"/>
    <w:semiHidden/>
    <w:pPr>
      <w:ind w:left="1415" w:hanging="283"/>
    </w:pPr>
  </w:style>
  <w:style w:type="character" w:styleId="aff6">
    <w:name w:val="Strong"/>
    <w:qFormat/>
    <w:rPr>
      <w:b/>
    </w:rPr>
  </w:style>
  <w:style w:type="paragraph" w:styleId="aff7">
    <w:name w:val="Document Map"/>
    <w:basedOn w:val="a4"/>
    <w:semiHidden/>
    <w:pPr>
      <w:shd w:val="clear" w:color="auto" w:fill="000080"/>
    </w:pPr>
    <w:rPr>
      <w:rFonts w:ascii="Tahoma" w:hAnsi="Tahoma"/>
    </w:rPr>
  </w:style>
  <w:style w:type="paragraph" w:styleId="aff8">
    <w:name w:val="table of authorities"/>
    <w:basedOn w:val="a4"/>
    <w:next w:val="a4"/>
    <w:semiHidden/>
    <w:pPr>
      <w:ind w:left="240" w:hanging="240"/>
    </w:pPr>
  </w:style>
  <w:style w:type="paragraph" w:styleId="aff9">
    <w:name w:val="Plain Text"/>
    <w:basedOn w:val="a4"/>
    <w:link w:val="affa"/>
    <w:rPr>
      <w:rFonts w:ascii="Courier New" w:hAnsi="Courier New"/>
      <w:sz w:val="20"/>
    </w:rPr>
  </w:style>
  <w:style w:type="paragraph" w:styleId="affb">
    <w:name w:val="endnote text"/>
    <w:basedOn w:val="a4"/>
    <w:link w:val="affc"/>
    <w:semiHidden/>
    <w:rPr>
      <w:sz w:val="20"/>
    </w:rPr>
  </w:style>
  <w:style w:type="paragraph" w:styleId="af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e">
    <w:name w:val="annotation text"/>
    <w:basedOn w:val="a4"/>
    <w:semiHidden/>
    <w:rPr>
      <w:sz w:val="20"/>
    </w:rPr>
  </w:style>
  <w:style w:type="paragraph" w:styleId="afff">
    <w:name w:val="footnote text"/>
    <w:basedOn w:val="a4"/>
    <w:link w:val="afff0"/>
    <w:semiHidden/>
    <w:rPr>
      <w:sz w:val="20"/>
    </w:rPr>
  </w:style>
  <w:style w:type="paragraph" w:styleId="11">
    <w:name w:val="index 1"/>
    <w:basedOn w:val="a4"/>
    <w:next w:val="a4"/>
    <w:autoRedefine/>
    <w:semiHidden/>
    <w:pPr>
      <w:ind w:left="240" w:hanging="240"/>
    </w:pPr>
  </w:style>
  <w:style w:type="paragraph" w:styleId="afff1">
    <w:name w:val="index heading"/>
    <w:basedOn w:val="a4"/>
    <w:next w:val="11"/>
    <w:semiHidden/>
    <w:rPr>
      <w:rFonts w:ascii="Arial" w:hAnsi="Arial"/>
      <w:b/>
    </w:rPr>
  </w:style>
  <w:style w:type="paragraph" w:styleId="29">
    <w:name w:val="index 2"/>
    <w:basedOn w:val="a4"/>
    <w:next w:val="a4"/>
    <w:autoRedefine/>
    <w:semiHidden/>
    <w:pPr>
      <w:ind w:left="480" w:hanging="240"/>
    </w:pPr>
  </w:style>
  <w:style w:type="paragraph" w:styleId="38">
    <w:name w:val="index 3"/>
    <w:basedOn w:val="a4"/>
    <w:next w:val="a4"/>
    <w:autoRedefine/>
    <w:semiHidden/>
    <w:pPr>
      <w:ind w:left="720" w:hanging="240"/>
    </w:pPr>
  </w:style>
  <w:style w:type="paragraph" w:styleId="45">
    <w:name w:val="index 4"/>
    <w:basedOn w:val="a4"/>
    <w:next w:val="a4"/>
    <w:autoRedefine/>
    <w:semiHidden/>
    <w:pPr>
      <w:ind w:left="960" w:hanging="240"/>
    </w:pPr>
  </w:style>
  <w:style w:type="paragraph" w:styleId="55">
    <w:name w:val="index 5"/>
    <w:basedOn w:val="a4"/>
    <w:next w:val="a4"/>
    <w:autoRedefine/>
    <w:semiHidden/>
    <w:pPr>
      <w:ind w:left="1200" w:hanging="240"/>
    </w:pPr>
  </w:style>
  <w:style w:type="paragraph" w:styleId="61">
    <w:name w:val="index 6"/>
    <w:basedOn w:val="a4"/>
    <w:next w:val="a4"/>
    <w:autoRedefine/>
    <w:semiHidden/>
    <w:pPr>
      <w:ind w:left="1440" w:hanging="240"/>
    </w:pPr>
  </w:style>
  <w:style w:type="paragraph" w:styleId="71">
    <w:name w:val="index 7"/>
    <w:basedOn w:val="a4"/>
    <w:next w:val="a4"/>
    <w:autoRedefine/>
    <w:semiHidden/>
    <w:pPr>
      <w:ind w:left="1680" w:hanging="240"/>
    </w:pPr>
  </w:style>
  <w:style w:type="paragraph" w:styleId="81">
    <w:name w:val="index 8"/>
    <w:basedOn w:val="a4"/>
    <w:next w:val="a4"/>
    <w:autoRedefine/>
    <w:semiHidden/>
    <w:pPr>
      <w:ind w:left="1920" w:hanging="240"/>
    </w:pPr>
  </w:style>
  <w:style w:type="paragraph" w:styleId="91">
    <w:name w:val="index 9"/>
    <w:basedOn w:val="a4"/>
    <w:next w:val="a4"/>
    <w:autoRedefine/>
    <w:semiHidden/>
    <w:pPr>
      <w:ind w:left="2160" w:hanging="240"/>
    </w:pPr>
  </w:style>
  <w:style w:type="paragraph" w:styleId="afff2">
    <w:name w:val="Block Text"/>
    <w:basedOn w:val="a4"/>
    <w:semiHidden/>
    <w:pPr>
      <w:spacing w:after="120"/>
      <w:ind w:left="1440" w:right="1440"/>
    </w:pPr>
  </w:style>
  <w:style w:type="paragraph" w:styleId="afff3">
    <w:name w:val="Message Header"/>
    <w:basedOn w:val="a4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a3">
    <w:name w:val="Пункт"/>
    <w:basedOn w:val="a4"/>
    <w:next w:val="a4"/>
    <w:pPr>
      <w:widowControl w:val="0"/>
      <w:numPr>
        <w:ilvl w:val="1"/>
        <w:numId w:val="25"/>
      </w:numPr>
      <w:tabs>
        <w:tab w:val="left" w:pos="851"/>
        <w:tab w:val="left" w:pos="993"/>
        <w:tab w:val="left" w:pos="1134"/>
      </w:tabs>
      <w:spacing w:before="40" w:after="40"/>
      <w:jc w:val="both"/>
    </w:pPr>
  </w:style>
  <w:style w:type="paragraph" w:customStyle="1" w:styleId="a1">
    <w:name w:val="Перечень"/>
    <w:basedOn w:val="a4"/>
    <w:pPr>
      <w:numPr>
        <w:numId w:val="37"/>
      </w:numPr>
      <w:tabs>
        <w:tab w:val="clear" w:pos="1789"/>
        <w:tab w:val="num" w:pos="1276"/>
      </w:tabs>
      <w:ind w:left="0" w:firstLine="851"/>
      <w:jc w:val="both"/>
    </w:pPr>
    <w:rPr>
      <w:sz w:val="26"/>
    </w:rPr>
  </w:style>
  <w:style w:type="paragraph" w:customStyle="1" w:styleId="a2">
    <w:name w:val="Абзац_номер"/>
    <w:basedOn w:val="a4"/>
    <w:pPr>
      <w:numPr>
        <w:numId w:val="38"/>
      </w:numPr>
      <w:tabs>
        <w:tab w:val="clear" w:pos="1571"/>
        <w:tab w:val="num" w:pos="1260"/>
      </w:tabs>
      <w:overflowPunct w:val="0"/>
      <w:autoSpaceDE w:val="0"/>
      <w:autoSpaceDN w:val="0"/>
      <w:adjustRightInd w:val="0"/>
      <w:spacing w:before="120"/>
      <w:ind w:left="0" w:firstLine="851"/>
      <w:jc w:val="both"/>
      <w:textAlignment w:val="baseline"/>
    </w:pPr>
    <w:rPr>
      <w:sz w:val="26"/>
    </w:rPr>
  </w:style>
  <w:style w:type="paragraph" w:customStyle="1" w:styleId="ListParagraph">
    <w:name w:val="List Paragraph"/>
    <w:basedOn w:val="a4"/>
    <w:pPr>
      <w:ind w:left="720"/>
    </w:pPr>
    <w:rPr>
      <w:rFonts w:eastAsia="Calibri"/>
    </w:rPr>
  </w:style>
  <w:style w:type="paragraph" w:styleId="afff4">
    <w:name w:val="Balloon Text"/>
    <w:basedOn w:val="a4"/>
    <w:link w:val="afff5"/>
    <w:semiHidden/>
    <w:rPr>
      <w:rFonts w:ascii="Tahoma" w:hAnsi="Tahoma"/>
      <w:sz w:val="16"/>
    </w:rPr>
  </w:style>
  <w:style w:type="paragraph" w:customStyle="1" w:styleId="12">
    <w:name w:val="Стиль1"/>
    <w:basedOn w:val="a4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afff0">
    <w:name w:val="Текст сноски Знак"/>
    <w:link w:val="afff"/>
    <w:semiHidden/>
    <w:rsid w:val="00BA0163"/>
  </w:style>
  <w:style w:type="character" w:customStyle="1" w:styleId="affa">
    <w:name w:val="Текст Знак"/>
    <w:link w:val="aff9"/>
    <w:rsid w:val="002C25E6"/>
    <w:rPr>
      <w:rFonts w:ascii="Courier New" w:hAnsi="Courier New"/>
    </w:rPr>
  </w:style>
  <w:style w:type="character" w:customStyle="1" w:styleId="affc">
    <w:name w:val="Текст концевой сноски Знак"/>
    <w:link w:val="affb"/>
    <w:semiHidden/>
    <w:rsid w:val="002C25E6"/>
  </w:style>
  <w:style w:type="character" w:customStyle="1" w:styleId="35">
    <w:name w:val="Основной текст с отступом 3 Знак"/>
    <w:link w:val="34"/>
    <w:semiHidden/>
    <w:rsid w:val="004D434C"/>
    <w:rPr>
      <w:sz w:val="16"/>
    </w:rPr>
  </w:style>
  <w:style w:type="character" w:customStyle="1" w:styleId="a9">
    <w:name w:val="Верхний колонтитул Знак"/>
    <w:link w:val="a8"/>
    <w:semiHidden/>
    <w:rsid w:val="00C07A07"/>
    <w:rPr>
      <w:sz w:val="24"/>
    </w:rPr>
  </w:style>
  <w:style w:type="character" w:customStyle="1" w:styleId="af6">
    <w:name w:val="Основной текст Знак"/>
    <w:aliases w:val="Знак1 Знак1,Заг1 Знак1"/>
    <w:link w:val="af5"/>
    <w:locked/>
    <w:rsid w:val="00C07A07"/>
    <w:rPr>
      <w:sz w:val="24"/>
    </w:rPr>
  </w:style>
  <w:style w:type="character" w:customStyle="1" w:styleId="af">
    <w:name w:val="Дата Знак"/>
    <w:link w:val="ae"/>
    <w:semiHidden/>
    <w:rsid w:val="00C07A07"/>
    <w:rPr>
      <w:sz w:val="24"/>
    </w:rPr>
  </w:style>
  <w:style w:type="character" w:customStyle="1" w:styleId="afff5">
    <w:name w:val="Текст выноски Знак"/>
    <w:link w:val="afff4"/>
    <w:semiHidden/>
    <w:rsid w:val="00C07A07"/>
    <w:rPr>
      <w:rFonts w:ascii="Tahoma" w:hAnsi="Tahoma"/>
      <w:sz w:val="16"/>
    </w:rPr>
  </w:style>
  <w:style w:type="table" w:styleId="afff6">
    <w:name w:val="Table Grid"/>
    <w:basedOn w:val="a6"/>
    <w:uiPriority w:val="59"/>
    <w:rsid w:val="00394A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D92A8521CAB96DE090386102631900BD913158CD1BC675F7A9D74E82E4AFFE5343DBB29570EA9MEp7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sbor.gks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48AD-635E-47A0-ABA2-8404E971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2291</Words>
  <Characters>13064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	</vt:lpstr>
    </vt:vector>
  </TitlesOfParts>
  <Company>ГКС РФ</Company>
  <LinksUpToDate>false</LinksUpToDate>
  <CharactersWithSpaces>15325</CharactersWithSpaces>
  <SharedDoc>false</SharedDoc>
  <HLinks>
    <vt:vector size="12" baseType="variant"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http://websbor.gks.ru/online/</vt:lpwstr>
      </vt:variant>
      <vt:variant>
        <vt:lpwstr>!/gs/statistic-codes</vt:lpwstr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p41_zaikovaom</cp:lastModifiedBy>
  <cp:revision>2</cp:revision>
  <cp:lastPrinted>2017-05-24T23:04:00Z</cp:lastPrinted>
  <dcterms:created xsi:type="dcterms:W3CDTF">2020-02-02T23:59:00Z</dcterms:created>
  <dcterms:modified xsi:type="dcterms:W3CDTF">2020-02-02T23:59:00Z</dcterms:modified>
</cp:coreProperties>
</file>